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C3E" w:rsidRDefault="00164C3E" w:rsidP="004F08BD">
      <w:pPr>
        <w:widowControl w:val="0"/>
        <w:spacing w:line="360" w:lineRule="auto"/>
        <w:ind w:right="-164"/>
        <w:contextualSpacing/>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965D9">
        <w:rPr>
          <w:rFonts w:ascii="Palatino Linotype" w:hAnsi="Palatino Linotype" w:cs="Arial"/>
          <w:b/>
        </w:rPr>
        <w:t>CUA</w:t>
      </w:r>
      <w:r>
        <w:rPr>
          <w:rFonts w:ascii="Palatino Linotype" w:hAnsi="Palatino Linotype" w:cs="Arial"/>
          <w:b/>
        </w:rPr>
        <w:t xml:space="preserve">RTA </w:t>
      </w:r>
      <w:r w:rsidRPr="006D731E">
        <w:rPr>
          <w:rFonts w:ascii="Palatino Linotype" w:hAnsi="Palatino Linotype" w:cs="Arial"/>
          <w:b/>
        </w:rPr>
        <w:t>SESIÓN ORDINARIA DE</w:t>
      </w:r>
      <w:r>
        <w:rPr>
          <w:rFonts w:ascii="Palatino Linotype" w:hAnsi="Palatino Linotype" w:cs="Arial"/>
          <w:b/>
        </w:rPr>
        <w:t xml:space="preserve"> TREINTA DE ENERO DE </w:t>
      </w:r>
      <w:r w:rsidRPr="006D731E">
        <w:rPr>
          <w:rFonts w:ascii="Palatino Linotype" w:hAnsi="Palatino Linotype" w:cs="Arial"/>
          <w:b/>
        </w:rPr>
        <w:t xml:space="preserve">DOS MIL </w:t>
      </w:r>
      <w:r>
        <w:rPr>
          <w:rFonts w:ascii="Palatino Linotype" w:hAnsi="Palatino Linotype" w:cs="Arial"/>
          <w:b/>
        </w:rPr>
        <w:t>DIECINUEVE</w:t>
      </w:r>
      <w:r w:rsidRPr="006D731E">
        <w:rPr>
          <w:rFonts w:ascii="Palatino Linotype" w:hAnsi="Palatino Linotype" w:cs="Arial"/>
          <w:b/>
        </w:rPr>
        <w:t xml:space="preserve">, EN EL RECURSO DE REVISIÓN </w:t>
      </w:r>
      <w:r>
        <w:rPr>
          <w:rFonts w:ascii="Palatino Linotype" w:hAnsi="Palatino Linotype" w:cs="Arial"/>
          <w:b/>
        </w:rPr>
        <w:t>04256</w:t>
      </w:r>
      <w:r w:rsidRPr="00954188">
        <w:rPr>
          <w:rFonts w:ascii="Palatino Linotype" w:hAnsi="Palatino Linotype" w:cs="Arial"/>
          <w:b/>
        </w:rPr>
        <w:t>/INFOEM/IP/RR/2018</w:t>
      </w:r>
      <w:r w:rsidRPr="006D731E">
        <w:rPr>
          <w:rFonts w:ascii="Palatino Linotype" w:eastAsia="Calibri" w:hAnsi="Palatino Linotype" w:cs="Arial"/>
          <w:b/>
        </w:rPr>
        <w:t>.</w:t>
      </w:r>
    </w:p>
    <w:p w:rsidR="004F08BD" w:rsidRPr="006D731E" w:rsidRDefault="004F08BD" w:rsidP="004F08BD">
      <w:pPr>
        <w:widowControl w:val="0"/>
        <w:spacing w:line="360" w:lineRule="auto"/>
        <w:ind w:right="-164"/>
        <w:contextualSpacing/>
        <w:jc w:val="both"/>
        <w:rPr>
          <w:rFonts w:ascii="Palatino Linotype" w:eastAsia="Calibri" w:hAnsi="Palatino Linotype" w:cs="Arial"/>
          <w:b/>
        </w:rPr>
      </w:pPr>
    </w:p>
    <w:p w:rsidR="00164C3E" w:rsidRDefault="00164C3E" w:rsidP="004F08BD">
      <w:pPr>
        <w:widowControl w:val="0"/>
        <w:spacing w:line="360" w:lineRule="auto"/>
        <w:ind w:right="-164"/>
        <w:contextualSpacing/>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Pr>
          <w:rFonts w:ascii="Palatino Linotype" w:hAnsi="Palatino Linotype" w:cs="Arial"/>
          <w:b/>
        </w:rPr>
        <w:t>04256</w:t>
      </w:r>
      <w:r w:rsidRPr="00954188">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Pr>
          <w:rFonts w:ascii="Palatino Linotype" w:hAnsi="Palatino Linotype" w:cs="Arial"/>
        </w:rPr>
        <w:t xml:space="preserve"> el</w:t>
      </w:r>
      <w:r w:rsidRPr="006D731E">
        <w:rPr>
          <w:rFonts w:ascii="Palatino Linotype" w:hAnsi="Palatino Linotype" w:cs="Arial"/>
        </w:rPr>
        <w:t xml:space="preserve"> Comisionad</w:t>
      </w:r>
      <w:r>
        <w:rPr>
          <w:rFonts w:ascii="Palatino Linotype" w:hAnsi="Palatino Linotype" w:cs="Arial"/>
        </w:rPr>
        <w:t>o</w:t>
      </w:r>
      <w:r w:rsidRPr="006D731E">
        <w:rPr>
          <w:rFonts w:ascii="Palatino Linotype" w:hAnsi="Palatino Linotype" w:cs="Arial"/>
        </w:rPr>
        <w:t xml:space="preserve"> </w:t>
      </w:r>
      <w:r>
        <w:rPr>
          <w:rFonts w:ascii="Palatino Linotype" w:hAnsi="Palatino Linotype" w:cs="Arial"/>
          <w:b/>
        </w:rPr>
        <w:t>LUIS GUSTAVO PARRA NORIEGA</w:t>
      </w:r>
      <w:r w:rsidRPr="006D731E">
        <w:rPr>
          <w:rFonts w:ascii="Palatino Linotype" w:hAnsi="Palatino Linotype" w:cs="Arial"/>
        </w:rPr>
        <w:t xml:space="preserve">, </w:t>
      </w:r>
      <w:r>
        <w:rPr>
          <w:rFonts w:ascii="Palatino Linotype" w:hAnsi="Palatino Linotype" w:cs="Arial"/>
        </w:rPr>
        <w:t>que es del tenor siguiente.</w:t>
      </w:r>
    </w:p>
    <w:p w:rsidR="004F08BD" w:rsidRDefault="004F08BD" w:rsidP="004F08BD">
      <w:pPr>
        <w:widowControl w:val="0"/>
        <w:spacing w:line="360" w:lineRule="auto"/>
        <w:ind w:right="-164"/>
        <w:contextualSpacing/>
        <w:jc w:val="both"/>
        <w:rPr>
          <w:rFonts w:ascii="Palatino Linotype" w:hAnsi="Palatino Linotype" w:cs="Arial"/>
        </w:rPr>
      </w:pPr>
    </w:p>
    <w:p w:rsidR="00164C3E" w:rsidRDefault="00164C3E" w:rsidP="004F08BD">
      <w:pPr>
        <w:spacing w:line="360" w:lineRule="auto"/>
        <w:contextualSpacing/>
        <w:jc w:val="both"/>
        <w:rPr>
          <w:rFonts w:ascii="Palatino Linotype" w:hAnsi="Palatino Linotype"/>
        </w:rPr>
      </w:pPr>
      <w:r w:rsidRPr="006D731E">
        <w:rPr>
          <w:rFonts w:ascii="Palatino Linotype" w:hAnsi="Palatino Linotype"/>
        </w:rPr>
        <w:t>Es de destacar, que la suscrita c</w:t>
      </w:r>
      <w:r>
        <w:rPr>
          <w:rFonts w:ascii="Palatino Linotype" w:hAnsi="Palatino Linotype"/>
        </w:rPr>
        <w:t>omparte el sentido de la resolución  del recurso de revisión; empero, estimo</w:t>
      </w:r>
      <w:r w:rsidRPr="006D731E">
        <w:rPr>
          <w:rFonts w:ascii="Palatino Linotype" w:hAnsi="Palatino Linotype"/>
        </w:rPr>
        <w:t xml:space="preserve"> necesario precisar algunas consid</w:t>
      </w:r>
      <w:r>
        <w:rPr>
          <w:rFonts w:ascii="Palatino Linotype" w:hAnsi="Palatino Linotype"/>
        </w:rPr>
        <w:t>eraciones de hecho y de derecho tocante a parte de la información que se ordena.</w:t>
      </w:r>
    </w:p>
    <w:p w:rsidR="004F08BD" w:rsidRDefault="004F08BD" w:rsidP="004F08BD">
      <w:pPr>
        <w:spacing w:line="360" w:lineRule="auto"/>
        <w:contextualSpacing/>
        <w:jc w:val="both"/>
        <w:rPr>
          <w:rFonts w:ascii="Palatino Linotype" w:hAnsi="Palatino Linotype"/>
        </w:rPr>
      </w:pPr>
    </w:p>
    <w:p w:rsidR="00FD6483" w:rsidRDefault="00164C3E" w:rsidP="004F08BD">
      <w:pPr>
        <w:spacing w:line="360" w:lineRule="auto"/>
        <w:contextualSpacing/>
        <w:jc w:val="both"/>
        <w:rPr>
          <w:rFonts w:ascii="Palatino Linotype" w:eastAsia="Calibri" w:hAnsi="Palatino Linotype" w:cs="Tahoma"/>
          <w:bCs/>
          <w:lang w:eastAsia="en-US"/>
        </w:rPr>
      </w:pPr>
      <w:r>
        <w:rPr>
          <w:rFonts w:ascii="Palatino Linotype" w:hAnsi="Palatino Linotype"/>
        </w:rPr>
        <w:t>T</w:t>
      </w:r>
      <w:r w:rsidRPr="006D731E">
        <w:rPr>
          <w:rFonts w:ascii="Palatino Linotype" w:hAnsi="Palatino Linotype"/>
        </w:rPr>
        <w:t>al y como quedó debidamente asentado en la resoluci</w:t>
      </w:r>
      <w:r>
        <w:rPr>
          <w:rFonts w:ascii="Palatino Linotype" w:hAnsi="Palatino Linotype"/>
        </w:rPr>
        <w:t>ó</w:t>
      </w:r>
      <w:r w:rsidR="00FD6483">
        <w:rPr>
          <w:rFonts w:ascii="Palatino Linotype" w:hAnsi="Palatino Linotype"/>
        </w:rPr>
        <w:t xml:space="preserve">n materia del presente voto, la </w:t>
      </w:r>
      <w:r w:rsidRPr="006D731E">
        <w:rPr>
          <w:rFonts w:ascii="Palatino Linotype" w:hAnsi="Palatino Linotype"/>
        </w:rPr>
        <w:t xml:space="preserve">particular requirió </w:t>
      </w:r>
      <w:r>
        <w:rPr>
          <w:rFonts w:ascii="Palatino Linotype" w:hAnsi="Palatino Linotype"/>
        </w:rPr>
        <w:t xml:space="preserve">al </w:t>
      </w:r>
      <w:r w:rsidR="00FD6483" w:rsidRPr="00FD6483">
        <w:rPr>
          <w:rFonts w:ascii="Palatino Linotype" w:eastAsia="Calibri" w:hAnsi="Palatino Linotype" w:cs="Tahoma"/>
          <w:b/>
          <w:bCs/>
          <w:lang w:val="es-ES" w:eastAsia="en-US"/>
        </w:rPr>
        <w:t>Sistema Municipal Para el Desarrollo Integral de la Familia de Tlalnepantla de Baz</w:t>
      </w:r>
      <w:r>
        <w:rPr>
          <w:rFonts w:ascii="Palatino Linotype" w:hAnsi="Palatino Linotype"/>
          <w:b/>
        </w:rPr>
        <w:t>,</w:t>
      </w:r>
      <w:r w:rsidRPr="00954188">
        <w:rPr>
          <w:rFonts w:ascii="Palatino Linotype" w:hAnsi="Palatino Linotype"/>
          <w:b/>
        </w:rPr>
        <w:t xml:space="preserve"> </w:t>
      </w:r>
      <w:r w:rsidRPr="002164F0">
        <w:rPr>
          <w:rFonts w:ascii="Palatino Linotype" w:hAnsi="Palatino Linotype"/>
        </w:rPr>
        <w:t>en lo subsecuente</w:t>
      </w:r>
      <w:r>
        <w:rPr>
          <w:rFonts w:ascii="Palatino Linotype" w:hAnsi="Palatino Linotype"/>
          <w:b/>
        </w:rPr>
        <w:t xml:space="preserve"> </w:t>
      </w:r>
      <w:r w:rsidRPr="002164F0">
        <w:rPr>
          <w:rFonts w:ascii="Palatino Linotype" w:hAnsi="Palatino Linotype"/>
          <w:b/>
        </w:rPr>
        <w:t xml:space="preserve">EL </w:t>
      </w:r>
      <w:r w:rsidRPr="006D731E">
        <w:rPr>
          <w:rFonts w:ascii="Palatino Linotype" w:hAnsi="Palatino Linotype"/>
          <w:b/>
        </w:rPr>
        <w:t>SUJETO OBLIGADO</w:t>
      </w:r>
      <w:r>
        <w:rPr>
          <w:rFonts w:ascii="Palatino Linotype" w:hAnsi="Palatino Linotype"/>
          <w:b/>
        </w:rPr>
        <w:t>,</w:t>
      </w:r>
      <w:r w:rsidRPr="006D731E">
        <w:rPr>
          <w:rFonts w:ascii="Palatino Linotype" w:hAnsi="Palatino Linotype"/>
        </w:rPr>
        <w:t xml:space="preserve"> </w:t>
      </w:r>
      <w:r w:rsidR="00FD6483" w:rsidRPr="00FD6483">
        <w:rPr>
          <w:rFonts w:ascii="Palatino Linotype" w:eastAsia="Calibri" w:hAnsi="Palatino Linotype" w:cs="Tahoma"/>
          <w:bCs/>
          <w:lang w:eastAsia="en-US"/>
        </w:rPr>
        <w:t xml:space="preserve">respecto del </w:t>
      </w:r>
      <w:r w:rsidR="00FD6483" w:rsidRPr="00FD6483">
        <w:rPr>
          <w:rFonts w:ascii="Palatino Linotype" w:eastAsia="Calibri" w:hAnsi="Palatino Linotype" w:cs="Tahoma"/>
          <w:bCs/>
          <w:lang w:eastAsia="en-US"/>
        </w:rPr>
        <w:lastRenderedPageBreak/>
        <w:t>Departamento de Atención Integral al Adolescente, los conte</w:t>
      </w:r>
      <w:r w:rsidR="00FD6483">
        <w:rPr>
          <w:rFonts w:ascii="Palatino Linotype" w:eastAsia="Calibri" w:hAnsi="Palatino Linotype" w:cs="Tahoma"/>
          <w:bCs/>
          <w:lang w:eastAsia="en-US"/>
        </w:rPr>
        <w:t>nidos que a continuación se desagregan:</w:t>
      </w:r>
    </w:p>
    <w:p w:rsidR="004F08BD" w:rsidRDefault="004F08BD" w:rsidP="004F08BD">
      <w:pPr>
        <w:spacing w:line="360" w:lineRule="auto"/>
        <w:contextualSpacing/>
        <w:jc w:val="both"/>
        <w:rPr>
          <w:rFonts w:ascii="Palatino Linotype" w:eastAsia="Calibri" w:hAnsi="Palatino Linotype" w:cs="Tahoma"/>
          <w:bCs/>
          <w:lang w:eastAsia="en-US"/>
        </w:rPr>
      </w:pPr>
    </w:p>
    <w:p w:rsidR="00FD6483" w:rsidRPr="00FD6483" w:rsidRDefault="00FD6483" w:rsidP="004F08BD">
      <w:pPr>
        <w:spacing w:line="360" w:lineRule="auto"/>
        <w:contextualSpacing/>
        <w:jc w:val="both"/>
        <w:rPr>
          <w:rFonts w:ascii="Palatino Linotype" w:hAnsi="Palatino Linotype"/>
        </w:rPr>
      </w:pPr>
      <w:r w:rsidRPr="00FD6483">
        <w:rPr>
          <w:rFonts w:ascii="Palatino Linotype" w:eastAsia="Calibri" w:hAnsi="Palatino Linotype" w:cs="Tahoma"/>
          <w:b/>
          <w:bCs/>
          <w:lang w:eastAsia="en-US"/>
        </w:rPr>
        <w:t>Del periodo del 16 de septiembre al 05 de octubre del 2018:</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Programa de trabajo calendarizado</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Evidencias que respalden cada actividad de su programa de trabajo</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Lista de asistencia al ensayo para Entrega-Recepción que se realizó el 05 de Octubre del presente año en la biblioteca virtual de Cultura</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Recibos de nómina</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Documentos que acrediten su asistencia laboral o permiso proporcionado para ausentarse del trabajo</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Si cuenta con alguna comisión laboral distinta o permiso de su jefe inmediato o superiores</w:t>
      </w:r>
    </w:p>
    <w:p w:rsidR="00FD6483" w:rsidRPr="00FD6483" w:rsidRDefault="00FD6483" w:rsidP="004F08BD">
      <w:pPr>
        <w:pStyle w:val="Prrafodelista"/>
        <w:numPr>
          <w:ilvl w:val="0"/>
          <w:numId w:val="1"/>
        </w:numPr>
        <w:spacing w:line="360" w:lineRule="auto"/>
        <w:ind w:left="1134" w:right="899"/>
        <w:jc w:val="both"/>
        <w:rPr>
          <w:rFonts w:ascii="Palatino Linotype" w:eastAsia="Calibri" w:hAnsi="Palatino Linotype" w:cs="Tahoma"/>
          <w:bCs/>
          <w:sz w:val="24"/>
          <w:lang w:eastAsia="en-US"/>
        </w:rPr>
      </w:pPr>
      <w:r w:rsidRPr="00FD6483">
        <w:rPr>
          <w:rFonts w:ascii="Palatino Linotype" w:eastAsia="Calibri" w:hAnsi="Palatino Linotype" w:cs="Tahoma"/>
          <w:bCs/>
          <w:sz w:val="24"/>
          <w:lang w:eastAsia="en-US"/>
        </w:rPr>
        <w:t>Copia de cada uno de los oficios firmados por la Jefa del Departamento dentro del Periodo 15 de mayo al 05 de octubre de 2018</w:t>
      </w:r>
      <w:r>
        <w:rPr>
          <w:rFonts w:ascii="Palatino Linotype" w:eastAsia="Calibri" w:hAnsi="Palatino Linotype" w:cs="Tahoma"/>
          <w:bCs/>
          <w:sz w:val="24"/>
          <w:lang w:eastAsia="en-US"/>
        </w:rPr>
        <w:t>.</w:t>
      </w:r>
    </w:p>
    <w:p w:rsidR="004F08BD" w:rsidRDefault="004F08BD" w:rsidP="004F08BD">
      <w:pPr>
        <w:spacing w:line="360" w:lineRule="auto"/>
        <w:contextualSpacing/>
        <w:jc w:val="both"/>
        <w:rPr>
          <w:rFonts w:ascii="Palatino Linotype" w:hAnsi="Palatino Linotype" w:cs="Arial"/>
        </w:rPr>
      </w:pPr>
    </w:p>
    <w:p w:rsidR="00A74C0E" w:rsidRDefault="00A74C0E" w:rsidP="004F08BD">
      <w:pPr>
        <w:spacing w:line="360" w:lineRule="auto"/>
        <w:contextualSpacing/>
        <w:jc w:val="both"/>
        <w:rPr>
          <w:rFonts w:ascii="Palatino Linotype" w:hAnsi="Palatino Linotype"/>
          <w:lang w:eastAsia="es-MX"/>
        </w:rPr>
      </w:pPr>
      <w:r>
        <w:rPr>
          <w:rFonts w:ascii="Palatino Linotype" w:hAnsi="Palatino Linotype" w:cs="Arial"/>
        </w:rPr>
        <w:t xml:space="preserve">De </w:t>
      </w:r>
      <w:r w:rsidR="00164C3E" w:rsidRPr="006D731E">
        <w:rPr>
          <w:rFonts w:ascii="Palatino Linotype" w:hAnsi="Palatino Linotype" w:cs="Arial"/>
        </w:rPr>
        <w:t xml:space="preserve">las constancias que obran en el </w:t>
      </w:r>
      <w:r w:rsidR="00164C3E" w:rsidRPr="006D731E">
        <w:rPr>
          <w:rFonts w:ascii="Palatino Linotype" w:hAnsi="Palatino Linotype" w:cs="Arial"/>
          <w:b/>
        </w:rPr>
        <w:t>SAIMEX</w:t>
      </w:r>
      <w:r w:rsidR="00164C3E" w:rsidRPr="006D731E">
        <w:rPr>
          <w:rFonts w:ascii="Palatino Linotype" w:hAnsi="Palatino Linotype" w:cs="Arial"/>
        </w:rPr>
        <w:t xml:space="preserve"> se advierte que </w:t>
      </w:r>
      <w:r w:rsidR="00164C3E" w:rsidRPr="006D731E">
        <w:rPr>
          <w:rFonts w:ascii="Palatino Linotype" w:hAnsi="Palatino Linotype" w:cs="Arial"/>
          <w:b/>
        </w:rPr>
        <w:t>EL SUJETO OBLIGADO</w:t>
      </w:r>
      <w:r w:rsidR="00164C3E" w:rsidRPr="006D731E">
        <w:rPr>
          <w:rFonts w:ascii="Palatino Linotype" w:hAnsi="Palatino Linotype" w:cs="Arial"/>
        </w:rPr>
        <w:t xml:space="preserve"> </w:t>
      </w:r>
      <w:r>
        <w:rPr>
          <w:rFonts w:ascii="Palatino Linotype" w:hAnsi="Palatino Linotype" w:cs="Arial"/>
        </w:rPr>
        <w:t>en su respuesta adjuntó diversos archivos electrónicos a través de los cuales pretendió tener por colmada la solicitud de información que le fue planteada.</w:t>
      </w:r>
    </w:p>
    <w:p w:rsidR="00A74C0E" w:rsidRDefault="00164C3E" w:rsidP="004F08BD">
      <w:pPr>
        <w:spacing w:line="360" w:lineRule="auto"/>
        <w:contextualSpacing/>
        <w:jc w:val="both"/>
        <w:rPr>
          <w:rFonts w:ascii="Palatino Linotype" w:hAnsi="Palatino Linotype" w:cs="Arial"/>
        </w:rPr>
      </w:pPr>
      <w:r w:rsidRPr="006D731E">
        <w:rPr>
          <w:rFonts w:ascii="Palatino Linotype" w:hAnsi="Palatino Linotype"/>
          <w:lang w:eastAsia="es-MX"/>
        </w:rPr>
        <w:t xml:space="preserve">Inconforme con la respuesta, </w:t>
      </w:r>
      <w:r w:rsidR="00A74C0E">
        <w:rPr>
          <w:rFonts w:ascii="Palatino Linotype" w:hAnsi="Palatino Linotype"/>
          <w:b/>
          <w:lang w:eastAsia="es-MX"/>
        </w:rPr>
        <w:t>LA</w:t>
      </w:r>
      <w:r w:rsidRPr="006D731E">
        <w:rPr>
          <w:rFonts w:ascii="Palatino Linotype" w:hAnsi="Palatino Linotype"/>
          <w:b/>
          <w:lang w:eastAsia="es-MX"/>
        </w:rPr>
        <w:t xml:space="preserve"> RECURRENTE</w:t>
      </w:r>
      <w:r w:rsidRPr="006D731E">
        <w:rPr>
          <w:rFonts w:ascii="Palatino Linotype" w:hAnsi="Palatino Linotype"/>
          <w:lang w:eastAsia="es-MX"/>
        </w:rPr>
        <w:t xml:space="preserve"> </w:t>
      </w:r>
      <w:r w:rsidRPr="006D731E">
        <w:rPr>
          <w:rFonts w:ascii="Palatino Linotype" w:hAnsi="Palatino Linotype" w:cs="Arial"/>
        </w:rPr>
        <w:t>interpuso el recurso de revisión de mérito</w:t>
      </w:r>
      <w:r w:rsidR="00A74C0E">
        <w:rPr>
          <w:rFonts w:ascii="Palatino Linotype" w:hAnsi="Palatino Linotype" w:cs="Arial"/>
        </w:rPr>
        <w:t>.</w:t>
      </w:r>
    </w:p>
    <w:p w:rsidR="004F08BD" w:rsidRDefault="004F08BD" w:rsidP="004F08BD">
      <w:pPr>
        <w:spacing w:line="360" w:lineRule="auto"/>
        <w:contextualSpacing/>
        <w:jc w:val="both"/>
        <w:rPr>
          <w:rFonts w:ascii="Palatino Linotype" w:hAnsi="Palatino Linotype" w:cs="Arial"/>
        </w:rPr>
      </w:pPr>
    </w:p>
    <w:p w:rsidR="007839DC" w:rsidRDefault="007839DC" w:rsidP="004F08BD">
      <w:pPr>
        <w:spacing w:line="360" w:lineRule="auto"/>
        <w:contextualSpacing/>
        <w:jc w:val="both"/>
        <w:rPr>
          <w:rFonts w:ascii="Palatino Linotype" w:hAnsi="Palatino Linotype" w:cs="Arial"/>
        </w:rPr>
      </w:pPr>
      <w:r>
        <w:rPr>
          <w:rFonts w:ascii="Palatino Linotype" w:hAnsi="Palatino Linotype" w:cs="Arial"/>
        </w:rPr>
        <w:lastRenderedPageBreak/>
        <w:t xml:space="preserve">Bajo ese tenor, </w:t>
      </w:r>
      <w:r w:rsidRPr="006D731E">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mediante Informe Justificado adjuntó dos archivos electrónicos que contienen lo siguiente:</w:t>
      </w:r>
    </w:p>
    <w:p w:rsidR="004F08BD" w:rsidRPr="007839DC" w:rsidRDefault="004F08BD" w:rsidP="004F08BD">
      <w:pPr>
        <w:spacing w:line="360" w:lineRule="auto"/>
        <w:contextualSpacing/>
        <w:jc w:val="both"/>
        <w:rPr>
          <w:rFonts w:ascii="Palatino Linotype" w:hAnsi="Palatino Linotype" w:cs="Arial"/>
        </w:rPr>
      </w:pPr>
    </w:p>
    <w:p w:rsidR="007839DC" w:rsidRPr="007839DC" w:rsidRDefault="007839DC" w:rsidP="004F08BD">
      <w:pPr>
        <w:pStyle w:val="Prrafodelista"/>
        <w:numPr>
          <w:ilvl w:val="0"/>
          <w:numId w:val="3"/>
        </w:numPr>
        <w:spacing w:line="360" w:lineRule="auto"/>
        <w:jc w:val="both"/>
        <w:rPr>
          <w:rFonts w:ascii="Palatino Linotype" w:eastAsia="Calibri" w:hAnsi="Palatino Linotype" w:cs="Tahoma"/>
          <w:bCs/>
          <w:sz w:val="24"/>
          <w:lang w:eastAsia="en-US"/>
        </w:rPr>
      </w:pPr>
      <w:r w:rsidRPr="007839DC">
        <w:rPr>
          <w:rFonts w:ascii="Palatino Linotype" w:eastAsia="Calibri" w:hAnsi="Palatino Linotype" w:cs="Tahoma"/>
          <w:bCs/>
          <w:sz w:val="24"/>
          <w:lang w:eastAsia="en-US"/>
        </w:rPr>
        <w:t>“AVANCE TRIMESTRAL DE METAS DE ACTIVIDAD POR PROYECTO”, relativo al Proyecto: Promoción del Desarrollo Integral de Adolescente, correspondiente al trimestre Julio-Septiembre.</w:t>
      </w:r>
    </w:p>
    <w:p w:rsidR="007839DC" w:rsidRPr="007839DC" w:rsidRDefault="007839DC" w:rsidP="004F08BD">
      <w:pPr>
        <w:pStyle w:val="Prrafodelista"/>
        <w:numPr>
          <w:ilvl w:val="0"/>
          <w:numId w:val="3"/>
        </w:numPr>
        <w:spacing w:line="360" w:lineRule="auto"/>
        <w:jc w:val="both"/>
        <w:rPr>
          <w:rFonts w:ascii="Palatino Linotype" w:eastAsia="Calibri" w:hAnsi="Palatino Linotype" w:cs="Tahoma"/>
          <w:bCs/>
          <w:sz w:val="24"/>
          <w:lang w:eastAsia="en-US"/>
        </w:rPr>
      </w:pPr>
      <w:r w:rsidRPr="007839DC">
        <w:rPr>
          <w:rFonts w:ascii="Palatino Linotype" w:eastAsia="Calibri" w:hAnsi="Palatino Linotype" w:cs="Tahoma"/>
          <w:bCs/>
          <w:sz w:val="24"/>
          <w:lang w:eastAsia="en-US"/>
        </w:rPr>
        <w:t>Oficio número 00129/DIFTLALNEPANTLA/2018, sin fecha de elaboración, cuyo contenido es una serie de fotografías que muestran a diversos grupos de personas, con un pie de página que da cuenta del lugar, el tema de la plática y la fecha en que se llevó a cabo</w:t>
      </w:r>
    </w:p>
    <w:p w:rsidR="004F08BD" w:rsidRDefault="004F08BD" w:rsidP="004F08BD">
      <w:pPr>
        <w:spacing w:line="360" w:lineRule="auto"/>
        <w:contextualSpacing/>
        <w:jc w:val="both"/>
        <w:rPr>
          <w:rFonts w:ascii="Palatino Linotype" w:hAnsi="Palatino Linotype" w:cs="Arial"/>
        </w:rPr>
      </w:pPr>
    </w:p>
    <w:p w:rsidR="00164C3E" w:rsidRDefault="007839DC" w:rsidP="004F08BD">
      <w:pPr>
        <w:spacing w:line="360" w:lineRule="auto"/>
        <w:contextualSpacing/>
        <w:jc w:val="both"/>
        <w:rPr>
          <w:rFonts w:ascii="Palatino Linotype" w:hAnsi="Palatino Linotype" w:cs="Arial"/>
        </w:rPr>
      </w:pPr>
      <w:r>
        <w:rPr>
          <w:rFonts w:ascii="Palatino Linotype" w:hAnsi="Palatino Linotype" w:cs="Arial"/>
        </w:rPr>
        <w:t>A</w:t>
      </w:r>
      <w:r w:rsidR="00164C3E">
        <w:rPr>
          <w:rFonts w:ascii="Palatino Linotype" w:hAnsi="Palatino Linotype" w:cs="Arial"/>
        </w:rPr>
        <w:t xml:space="preserve">sí, del estudio al expediente electrónico, la Ponencia Resolutora determinó </w:t>
      </w:r>
      <w:r w:rsidR="00AD0FEC">
        <w:rPr>
          <w:rFonts w:ascii="Palatino Linotype" w:hAnsi="Palatino Linotype" w:cs="Arial"/>
          <w:b/>
        </w:rPr>
        <w:t>MODIFIC</w:t>
      </w:r>
      <w:r w:rsidR="00164C3E">
        <w:rPr>
          <w:rFonts w:ascii="Palatino Linotype" w:hAnsi="Palatino Linotype" w:cs="Arial"/>
          <w:b/>
        </w:rPr>
        <w:t>AR</w:t>
      </w:r>
      <w:r w:rsidR="00164C3E" w:rsidRPr="00954188">
        <w:rPr>
          <w:rFonts w:ascii="Palatino Linotype" w:hAnsi="Palatino Linotype" w:cs="Arial"/>
          <w:b/>
        </w:rPr>
        <w:t xml:space="preserve"> </w:t>
      </w:r>
      <w:r w:rsidR="00164C3E">
        <w:rPr>
          <w:rFonts w:ascii="Palatino Linotype" w:hAnsi="Palatino Linotype" w:cs="Arial"/>
        </w:rPr>
        <w:t xml:space="preserve">la respuesta del </w:t>
      </w:r>
      <w:r w:rsidR="00AD0FEC">
        <w:rPr>
          <w:rFonts w:ascii="Palatino Linotype" w:hAnsi="Palatino Linotype" w:cs="Arial"/>
          <w:b/>
        </w:rPr>
        <w:t xml:space="preserve">SUJETO OBLIGADO </w:t>
      </w:r>
      <w:r w:rsidR="00AD0FEC">
        <w:rPr>
          <w:rFonts w:ascii="Palatino Linotype" w:hAnsi="Palatino Linotype" w:cs="Arial"/>
        </w:rPr>
        <w:t>y ordenar la entrega vía SAIMEX de lo siguiente:</w:t>
      </w:r>
    </w:p>
    <w:p w:rsidR="004F08BD" w:rsidRDefault="004F08BD" w:rsidP="004F08BD">
      <w:pPr>
        <w:spacing w:line="360" w:lineRule="auto"/>
        <w:contextualSpacing/>
        <w:jc w:val="both"/>
        <w:rPr>
          <w:rFonts w:ascii="Palatino Linotype" w:hAnsi="Palatino Linotype" w:cs="Arial"/>
        </w:rPr>
      </w:pPr>
    </w:p>
    <w:p w:rsidR="00AD0FEC" w:rsidRPr="00AD0FEC" w:rsidRDefault="00AD0FEC" w:rsidP="004F08BD">
      <w:pPr>
        <w:pStyle w:val="Prrafodelista"/>
        <w:numPr>
          <w:ilvl w:val="0"/>
          <w:numId w:val="2"/>
        </w:numPr>
        <w:ind w:left="1134" w:right="899"/>
        <w:jc w:val="both"/>
        <w:rPr>
          <w:rFonts w:ascii="Palatino Linotype" w:hAnsi="Palatino Linotype" w:cs="Tahoma"/>
          <w:bCs/>
          <w:i/>
          <w:szCs w:val="22"/>
        </w:rPr>
      </w:pPr>
      <w:r>
        <w:rPr>
          <w:rFonts w:ascii="Palatino Linotype" w:hAnsi="Palatino Linotype" w:cs="Tahoma"/>
          <w:bCs/>
          <w:i/>
          <w:szCs w:val="22"/>
        </w:rPr>
        <w:t>“</w:t>
      </w:r>
      <w:r w:rsidRPr="00AD0FEC">
        <w:rPr>
          <w:rFonts w:ascii="Palatino Linotype" w:hAnsi="Palatino Linotype" w:cs="Tahoma"/>
          <w:bCs/>
          <w:i/>
          <w:szCs w:val="22"/>
        </w:rPr>
        <w:t>Programa de Trabajo Calendarizado relativo al mes de octubre de dos mil dieciocho.</w:t>
      </w:r>
    </w:p>
    <w:p w:rsidR="00AD0FEC" w:rsidRPr="00017EBF" w:rsidRDefault="00AD0FEC" w:rsidP="004F08BD">
      <w:pPr>
        <w:pStyle w:val="Prrafodelista"/>
        <w:ind w:left="1134" w:right="899"/>
        <w:jc w:val="both"/>
        <w:rPr>
          <w:rFonts w:ascii="Palatino Linotype" w:hAnsi="Palatino Linotype" w:cs="Tahoma"/>
          <w:bCs/>
          <w:i/>
          <w:sz w:val="18"/>
          <w:szCs w:val="18"/>
        </w:rPr>
      </w:pPr>
    </w:p>
    <w:p w:rsidR="00AD0FEC" w:rsidRPr="00AD0FEC" w:rsidRDefault="00AD0FEC" w:rsidP="004F08BD">
      <w:pPr>
        <w:pStyle w:val="Prrafodelista"/>
        <w:numPr>
          <w:ilvl w:val="0"/>
          <w:numId w:val="2"/>
        </w:numPr>
        <w:ind w:left="1134" w:right="899"/>
        <w:jc w:val="both"/>
        <w:rPr>
          <w:rFonts w:ascii="Palatino Linotype" w:hAnsi="Palatino Linotype" w:cs="Tahoma"/>
          <w:bCs/>
          <w:i/>
          <w:szCs w:val="22"/>
        </w:rPr>
      </w:pPr>
      <w:r w:rsidRPr="00AD0FEC">
        <w:rPr>
          <w:rFonts w:ascii="Palatino Linotype" w:hAnsi="Palatino Linotype" w:cs="Tahoma"/>
          <w:bCs/>
          <w:i/>
          <w:szCs w:val="22"/>
        </w:rPr>
        <w:t>Las evidencias proporcionadas mediante informe justificado, protegiendo la identidad de menores de edad mediante la manipulación de la imagen o difuminando el rostro del menor, en términos del artículo 143, fracción I, de la Ley de Transparencia y Acceso a la Información Pública del Estado de México y Municipios.</w:t>
      </w:r>
    </w:p>
    <w:p w:rsidR="00AD0FEC" w:rsidRPr="00017EBF" w:rsidRDefault="00AD0FEC" w:rsidP="004F08BD">
      <w:pPr>
        <w:pStyle w:val="Prrafodelista"/>
        <w:ind w:left="1134" w:right="899"/>
        <w:jc w:val="both"/>
        <w:rPr>
          <w:rFonts w:ascii="Palatino Linotype" w:hAnsi="Palatino Linotype" w:cs="Tahoma"/>
          <w:bCs/>
          <w:i/>
          <w:sz w:val="18"/>
          <w:szCs w:val="18"/>
        </w:rPr>
      </w:pPr>
    </w:p>
    <w:p w:rsidR="00AD0FEC" w:rsidRPr="00AD0FEC" w:rsidRDefault="00AD0FEC" w:rsidP="004F08BD">
      <w:pPr>
        <w:pStyle w:val="Prrafodelista"/>
        <w:ind w:left="1134" w:right="899"/>
        <w:jc w:val="both"/>
        <w:rPr>
          <w:rFonts w:ascii="Palatino Linotype" w:hAnsi="Palatino Linotype" w:cs="Tahoma"/>
          <w:bCs/>
          <w:i/>
          <w:szCs w:val="22"/>
        </w:rPr>
      </w:pPr>
      <w:r w:rsidRPr="00AD0FEC">
        <w:rPr>
          <w:rFonts w:ascii="Palatino Linotype" w:hAnsi="Palatino Linotype" w:cs="Tahoma"/>
          <w:bCs/>
          <w:i/>
          <w:szCs w:val="22"/>
        </w:rPr>
        <w:t xml:space="preserve">Cabe señalar que la clasificación de la información deberá ser acompañada del Acta emitida por el Comité de Transparencia mediante la cual se confirme la confidencialidad de la información, en términos del artículo 168 de la Ley de </w:t>
      </w:r>
      <w:r w:rsidRPr="00AD0FEC">
        <w:rPr>
          <w:rFonts w:ascii="Palatino Linotype" w:hAnsi="Palatino Linotype" w:cs="Tahoma"/>
          <w:bCs/>
          <w:i/>
          <w:szCs w:val="22"/>
        </w:rPr>
        <w:lastRenderedPageBreak/>
        <w:t>Transparencia y Acceso a la Información Pública del Estado de México y Municipios.</w:t>
      </w:r>
    </w:p>
    <w:p w:rsidR="00AD0FEC" w:rsidRPr="00017EBF" w:rsidRDefault="00AD0FEC" w:rsidP="004F08BD">
      <w:pPr>
        <w:ind w:left="1134" w:right="899"/>
        <w:contextualSpacing/>
        <w:jc w:val="both"/>
        <w:rPr>
          <w:rFonts w:ascii="Palatino Linotype" w:hAnsi="Palatino Linotype" w:cs="Tahoma"/>
          <w:bCs/>
          <w:i/>
          <w:sz w:val="18"/>
          <w:szCs w:val="18"/>
        </w:rPr>
      </w:pPr>
    </w:p>
    <w:p w:rsidR="00AD0FEC" w:rsidRPr="00AD0FEC" w:rsidRDefault="00AD0FEC" w:rsidP="004F08BD">
      <w:pPr>
        <w:pStyle w:val="Prrafodelista"/>
        <w:numPr>
          <w:ilvl w:val="0"/>
          <w:numId w:val="2"/>
        </w:numPr>
        <w:ind w:left="1134" w:right="899"/>
        <w:jc w:val="both"/>
        <w:rPr>
          <w:rFonts w:ascii="Palatino Linotype" w:hAnsi="Palatino Linotype" w:cs="Tahoma"/>
          <w:bCs/>
          <w:i/>
          <w:szCs w:val="22"/>
        </w:rPr>
      </w:pPr>
      <w:r w:rsidRPr="00AD0FEC">
        <w:rPr>
          <w:rFonts w:ascii="Palatino Linotype" w:hAnsi="Palatino Linotype" w:cs="Tahoma"/>
          <w:bCs/>
          <w:i/>
          <w:szCs w:val="22"/>
        </w:rPr>
        <w:t>Recibos de nómina de la servidora pública referida por la Particular, correspondientes al periodo del dieciséis de septiembre de dos mil dieciocho al cinco de octubre de dos mil dieciocho.</w:t>
      </w:r>
    </w:p>
    <w:p w:rsidR="00AD0FEC" w:rsidRPr="00017EBF" w:rsidRDefault="00AD0FEC" w:rsidP="004F08BD">
      <w:pPr>
        <w:pStyle w:val="Prrafodelista"/>
        <w:ind w:left="1134" w:right="899"/>
        <w:jc w:val="both"/>
        <w:rPr>
          <w:rFonts w:ascii="Palatino Linotype" w:hAnsi="Palatino Linotype" w:cs="Tahoma"/>
          <w:bCs/>
          <w:i/>
          <w:sz w:val="18"/>
          <w:szCs w:val="18"/>
        </w:rPr>
      </w:pPr>
    </w:p>
    <w:p w:rsidR="00AD0FEC" w:rsidRPr="00AD0FEC" w:rsidRDefault="00AD0FEC" w:rsidP="004F08BD">
      <w:pPr>
        <w:pStyle w:val="Prrafodelista"/>
        <w:ind w:left="1134" w:right="899"/>
        <w:jc w:val="both"/>
        <w:rPr>
          <w:rFonts w:ascii="Palatino Linotype" w:hAnsi="Palatino Linotype" w:cs="Tahoma"/>
          <w:bCs/>
          <w:i/>
          <w:szCs w:val="22"/>
        </w:rPr>
      </w:pPr>
      <w:r w:rsidRPr="00AD0FEC">
        <w:rPr>
          <w:rFonts w:ascii="Palatino Linotype" w:hAnsi="Palatino Linotype" w:cs="Tahoma"/>
          <w:bCs/>
          <w:i/>
          <w:szCs w:val="22"/>
        </w:rPr>
        <w:t>Cabe señalar que los recibos de nómina podrían contener información susceptible de clasificarse como confidencial, mismo que de manera enunciativa mas no limitativa, podrían ser el Registro Federal de Contribuyentes (RFC), la Clave Única de Registro de Población (CURP), la Clave de cualquier tipo de seguridad social (ISSEMYM, u otros), así como, los préstamos o descuentos que se le hagan al servidor público y la clave interbancaria de depósito; por lo que, de ser el caso, se deberá elaborar la versión pública correspondiente acompañada del Acta del Comité de Transparencia mediante la cual se confirme la confidencialidad de los datos, en términos del artículo 168 de la Ley de Transparencia y Acceso a la Información Pública del Estado de México y Municipios.</w:t>
      </w:r>
    </w:p>
    <w:p w:rsidR="00AD0FEC" w:rsidRPr="00017EBF" w:rsidRDefault="00AD0FEC" w:rsidP="004F08BD">
      <w:pPr>
        <w:ind w:left="1134" w:right="899"/>
        <w:contextualSpacing/>
        <w:jc w:val="both"/>
        <w:rPr>
          <w:rFonts w:ascii="Palatino Linotype" w:hAnsi="Palatino Linotype" w:cs="Tahoma"/>
          <w:bCs/>
          <w:i/>
          <w:sz w:val="18"/>
          <w:szCs w:val="18"/>
        </w:rPr>
      </w:pPr>
    </w:p>
    <w:p w:rsidR="00AD0FEC" w:rsidRPr="00AD0FEC" w:rsidRDefault="00AD0FEC" w:rsidP="004F08BD">
      <w:pPr>
        <w:pStyle w:val="Prrafodelista"/>
        <w:numPr>
          <w:ilvl w:val="0"/>
          <w:numId w:val="2"/>
        </w:numPr>
        <w:ind w:left="1134" w:right="899"/>
        <w:jc w:val="both"/>
        <w:rPr>
          <w:rFonts w:ascii="Palatino Linotype" w:hAnsi="Palatino Linotype" w:cs="Tahoma"/>
          <w:bCs/>
          <w:i/>
          <w:szCs w:val="22"/>
        </w:rPr>
      </w:pPr>
      <w:r w:rsidRPr="00AD0FEC">
        <w:rPr>
          <w:rFonts w:ascii="Palatino Linotype" w:hAnsi="Palatino Linotype" w:cs="Tahoma"/>
          <w:bCs/>
          <w:i/>
          <w:szCs w:val="22"/>
        </w:rPr>
        <w:t>Copia de los oficios firmados por la servidora pública referida por el Particular, del quince de mayo de dos mil dieciocho al doce de junio de dos mil dieciocho.</w:t>
      </w:r>
    </w:p>
    <w:p w:rsidR="00AD0FEC" w:rsidRPr="00AD0FEC" w:rsidRDefault="00AD0FEC" w:rsidP="004F08BD">
      <w:pPr>
        <w:pStyle w:val="Prrafodelista"/>
        <w:ind w:left="1134" w:right="899"/>
        <w:jc w:val="both"/>
        <w:rPr>
          <w:rFonts w:ascii="Palatino Linotype" w:hAnsi="Palatino Linotype" w:cs="Tahoma"/>
          <w:bCs/>
          <w:i/>
          <w:szCs w:val="22"/>
        </w:rPr>
      </w:pPr>
      <w:r w:rsidRPr="00AD0FEC">
        <w:rPr>
          <w:rFonts w:ascii="Palatino Linotype" w:hAnsi="Palatino Linotype" w:cs="Tahoma"/>
          <w:bCs/>
          <w:i/>
          <w:szCs w:val="22"/>
        </w:rPr>
        <w:t>En caso de que alguno de ellos contuviera información susceptible de clasificarse en términos de los artículo 140 o 143 de la Ley de Transparencia y Acceso a la Información Pública del Estado de México y Municipios, se deberá elaborar la versión pública correspondiente acompañada del Acta del Comité de Transparencia mediante la cual se confirme la confidencialidad de los datos, en términos del artículo 168 de la norma citada.</w:t>
      </w:r>
    </w:p>
    <w:p w:rsidR="00AD0FEC" w:rsidRPr="00017EBF" w:rsidRDefault="00AD0FEC" w:rsidP="004F08BD">
      <w:pPr>
        <w:pStyle w:val="Prrafodelista"/>
        <w:ind w:left="1134" w:right="899"/>
        <w:jc w:val="both"/>
        <w:rPr>
          <w:rFonts w:ascii="Palatino Linotype" w:hAnsi="Palatino Linotype" w:cs="Tahoma"/>
          <w:bCs/>
          <w:i/>
          <w:sz w:val="18"/>
          <w:szCs w:val="18"/>
        </w:rPr>
      </w:pPr>
    </w:p>
    <w:p w:rsidR="00AD0FEC" w:rsidRPr="003056EC" w:rsidRDefault="00AD0FEC" w:rsidP="004F08BD">
      <w:pPr>
        <w:pStyle w:val="Prrafodelista"/>
        <w:ind w:left="1134" w:right="899"/>
        <w:jc w:val="both"/>
        <w:rPr>
          <w:rFonts w:ascii="Palatino Linotype" w:hAnsi="Palatino Linotype" w:cs="Tahoma"/>
          <w:bCs/>
          <w:szCs w:val="22"/>
        </w:rPr>
      </w:pPr>
      <w:r w:rsidRPr="00AD0FEC">
        <w:rPr>
          <w:rFonts w:ascii="Palatino Linotype" w:hAnsi="Palatino Linotype" w:cs="Tahoma"/>
          <w:bCs/>
          <w:i/>
          <w:szCs w:val="22"/>
        </w:rPr>
        <w:t>En caso de que los documentos antes señalados no se hubieran generado, se debe motivar la respuesta en función de las causas que motiven tal circunstancia, en términos del segundo párrafo del artículo 19 de la Ley de Transparencia y Acceso a la Información Pública del Estado de México y Municipios</w:t>
      </w:r>
      <w:r w:rsidRPr="003056EC">
        <w:rPr>
          <w:rFonts w:ascii="Palatino Linotype" w:hAnsi="Palatino Linotype" w:cs="Tahoma"/>
          <w:bCs/>
          <w:szCs w:val="22"/>
        </w:rPr>
        <w:t>.</w:t>
      </w:r>
      <w:r>
        <w:rPr>
          <w:rFonts w:ascii="Palatino Linotype" w:hAnsi="Palatino Linotype" w:cs="Tahoma"/>
          <w:bCs/>
          <w:szCs w:val="22"/>
        </w:rPr>
        <w:t>”</w:t>
      </w:r>
    </w:p>
    <w:p w:rsidR="004F08BD" w:rsidRDefault="004F08BD" w:rsidP="004F08BD">
      <w:pPr>
        <w:spacing w:line="360" w:lineRule="auto"/>
        <w:contextualSpacing/>
        <w:jc w:val="both"/>
        <w:rPr>
          <w:rFonts w:ascii="Palatino Linotype" w:hAnsi="Palatino Linotype" w:cs="Arial"/>
        </w:rPr>
      </w:pPr>
    </w:p>
    <w:p w:rsidR="00AD0FEC" w:rsidRDefault="00164C3E" w:rsidP="004F08BD">
      <w:pPr>
        <w:spacing w:line="360" w:lineRule="auto"/>
        <w:contextualSpacing/>
        <w:jc w:val="both"/>
        <w:rPr>
          <w:rFonts w:ascii="Palatino Linotype" w:hAnsi="Palatino Linotype" w:cs="Arial"/>
        </w:rPr>
      </w:pPr>
      <w:r w:rsidRPr="001D3F57">
        <w:rPr>
          <w:rFonts w:ascii="Palatino Linotype" w:hAnsi="Palatino Linotype" w:cs="Arial"/>
        </w:rPr>
        <w:t>En ese s</w:t>
      </w:r>
      <w:r>
        <w:rPr>
          <w:rFonts w:ascii="Palatino Linotype" w:hAnsi="Palatino Linotype" w:cs="Arial"/>
        </w:rPr>
        <w:t>entido, la que suscribe reitera</w:t>
      </w:r>
      <w:r w:rsidRPr="001D3F57">
        <w:rPr>
          <w:rFonts w:ascii="Palatino Linotype" w:hAnsi="Palatino Linotype" w:cs="Arial"/>
        </w:rPr>
        <w:t xml:space="preserve"> que si bien coincide en términos generales </w:t>
      </w:r>
      <w:r>
        <w:rPr>
          <w:rFonts w:ascii="Palatino Linotype" w:hAnsi="Palatino Linotype" w:cs="Arial"/>
        </w:rPr>
        <w:t xml:space="preserve">con </w:t>
      </w:r>
      <w:r w:rsidR="00AD0FEC">
        <w:rPr>
          <w:rFonts w:ascii="Palatino Linotype" w:hAnsi="Palatino Linotype" w:cs="Arial"/>
        </w:rPr>
        <w:t xml:space="preserve">el sentido de la resolución del </w:t>
      </w:r>
      <w:r>
        <w:rPr>
          <w:rFonts w:ascii="Palatino Linotype" w:hAnsi="Palatino Linotype" w:cs="Arial"/>
        </w:rPr>
        <w:t>recurso de revisión en comento, considero que</w:t>
      </w:r>
      <w:r w:rsidR="007839DC">
        <w:rPr>
          <w:rFonts w:ascii="Palatino Linotype" w:hAnsi="Palatino Linotype" w:cs="Arial"/>
        </w:rPr>
        <w:t xml:space="preserve"> la Ponencia Resolutora </w:t>
      </w:r>
      <w:r w:rsidR="00AD0FEC">
        <w:rPr>
          <w:rFonts w:ascii="Palatino Linotype" w:hAnsi="Palatino Linotype" w:cs="Arial"/>
        </w:rPr>
        <w:t xml:space="preserve">en resolutivos debió precisar la entrega </w:t>
      </w:r>
      <w:r w:rsidR="007839DC">
        <w:rPr>
          <w:rFonts w:ascii="Palatino Linotype" w:hAnsi="Palatino Linotype" w:cs="Arial"/>
        </w:rPr>
        <w:t xml:space="preserve">del </w:t>
      </w:r>
      <w:r w:rsidR="00AD0FEC">
        <w:rPr>
          <w:rFonts w:ascii="Palatino Linotype" w:hAnsi="Palatino Linotype" w:cs="Arial"/>
        </w:rPr>
        <w:t>Acuerdo de</w:t>
      </w:r>
      <w:r w:rsidR="007839DC">
        <w:rPr>
          <w:rFonts w:ascii="Palatino Linotype" w:hAnsi="Palatino Linotype" w:cs="Arial"/>
        </w:rPr>
        <w:t xml:space="preserve"> clasificación de la información como </w:t>
      </w:r>
      <w:r w:rsidR="00AD0FEC">
        <w:rPr>
          <w:rFonts w:ascii="Palatino Linotype" w:hAnsi="Palatino Linotype" w:cs="Arial"/>
        </w:rPr>
        <w:t>reserva</w:t>
      </w:r>
      <w:r w:rsidR="007839DC">
        <w:rPr>
          <w:rFonts w:ascii="Palatino Linotype" w:hAnsi="Palatino Linotype" w:cs="Arial"/>
        </w:rPr>
        <w:t>da.</w:t>
      </w:r>
    </w:p>
    <w:p w:rsidR="001A06B6" w:rsidRDefault="00164C3E" w:rsidP="004F08BD">
      <w:pPr>
        <w:spacing w:line="360" w:lineRule="auto"/>
        <w:ind w:right="49"/>
        <w:contextualSpacing/>
        <w:jc w:val="both"/>
        <w:rPr>
          <w:rFonts w:ascii="Palatino Linotype" w:eastAsia="Calibri" w:hAnsi="Palatino Linotype" w:cs="Tahoma"/>
          <w:bCs/>
          <w:lang w:eastAsia="en-US"/>
        </w:rPr>
      </w:pPr>
      <w:r>
        <w:rPr>
          <w:rFonts w:ascii="Palatino Linotype" w:hAnsi="Palatino Linotype" w:cs="Arial"/>
        </w:rPr>
        <w:lastRenderedPageBreak/>
        <w:t xml:space="preserve">Lo anterior, obedece a que </w:t>
      </w:r>
      <w:r w:rsidR="00A006E1">
        <w:rPr>
          <w:rFonts w:ascii="Palatino Linotype" w:hAnsi="Palatino Linotype" w:cs="Arial"/>
        </w:rPr>
        <w:t xml:space="preserve">se ordena la entrega de los oficios firmados por la servidora pública a cargo del </w:t>
      </w:r>
      <w:r w:rsidR="00A006E1" w:rsidRPr="00FD6483">
        <w:rPr>
          <w:rFonts w:ascii="Palatino Linotype" w:eastAsia="Calibri" w:hAnsi="Palatino Linotype" w:cs="Tahoma"/>
          <w:bCs/>
          <w:lang w:eastAsia="en-US"/>
        </w:rPr>
        <w:t>Departamento de Atención Integral al Adolescente</w:t>
      </w:r>
      <w:r w:rsidR="00A006E1">
        <w:rPr>
          <w:rFonts w:ascii="Palatino Linotype" w:eastAsia="Calibri" w:hAnsi="Palatino Linotype" w:cs="Tahoma"/>
          <w:bCs/>
          <w:lang w:eastAsia="en-US"/>
        </w:rPr>
        <w:t xml:space="preserve">, correspondientes del 15 de mayo de 2018 al 12 de junio de 2018 y únicamente en resolutivos la Ponencia Resolutora refirió que para el caso de que alguno de ellos contuviera información susceptible de clasificarse en términos de los artículos 140 o 143 de la Ley de la materia </w:t>
      </w:r>
      <w:r w:rsidR="00A006E1">
        <w:rPr>
          <w:rFonts w:ascii="Palatino Linotype" w:eastAsia="Calibri" w:hAnsi="Palatino Linotype" w:cs="Tahoma"/>
          <w:b/>
          <w:bCs/>
          <w:lang w:eastAsia="en-US"/>
        </w:rPr>
        <w:t xml:space="preserve">EL SUJETO OBLIGADO </w:t>
      </w:r>
      <w:r w:rsidR="00A006E1">
        <w:rPr>
          <w:rFonts w:ascii="Palatino Linotype" w:eastAsia="Calibri" w:hAnsi="Palatino Linotype" w:cs="Tahoma"/>
          <w:bCs/>
          <w:lang w:eastAsia="en-US"/>
        </w:rPr>
        <w:t>debería de elaborar la versión pública correspondiente</w:t>
      </w:r>
      <w:r w:rsidR="001A06B6">
        <w:rPr>
          <w:rFonts w:ascii="Palatino Linotype" w:eastAsia="Calibri" w:hAnsi="Palatino Linotype" w:cs="Tahoma"/>
          <w:bCs/>
          <w:lang w:eastAsia="en-US"/>
        </w:rPr>
        <w:t>, en la que se confirme la confidencialidad de los datos</w:t>
      </w:r>
      <w:r w:rsidR="00A006E1">
        <w:rPr>
          <w:rFonts w:ascii="Palatino Linotype" w:eastAsia="Calibri" w:hAnsi="Palatino Linotype" w:cs="Tahoma"/>
          <w:bCs/>
          <w:lang w:eastAsia="en-US"/>
        </w:rPr>
        <w:t xml:space="preserve">; sin embargo, </w:t>
      </w:r>
      <w:r w:rsidR="00B83813">
        <w:rPr>
          <w:rFonts w:ascii="Palatino Linotype" w:eastAsia="Calibri" w:hAnsi="Palatino Linotype" w:cs="Tahoma"/>
          <w:bCs/>
          <w:lang w:eastAsia="en-US"/>
        </w:rPr>
        <w:t xml:space="preserve">a criterio de la suscrita </w:t>
      </w:r>
      <w:r w:rsidR="001A06B6">
        <w:rPr>
          <w:rFonts w:ascii="Palatino Linotype" w:eastAsia="Calibri" w:hAnsi="Palatino Linotype" w:cs="Tahoma"/>
          <w:bCs/>
          <w:lang w:eastAsia="en-US"/>
        </w:rPr>
        <w:t>se debió adicionar en dicho resolutivo que de igual forma podría confirmarse la reserva de la información.</w:t>
      </w:r>
    </w:p>
    <w:p w:rsidR="004F08BD" w:rsidRDefault="004F08BD" w:rsidP="004F08BD">
      <w:pPr>
        <w:spacing w:line="360" w:lineRule="auto"/>
        <w:ind w:right="49"/>
        <w:contextualSpacing/>
        <w:jc w:val="both"/>
        <w:rPr>
          <w:rFonts w:ascii="Palatino Linotype" w:eastAsia="Calibri" w:hAnsi="Palatino Linotype" w:cs="Tahoma"/>
          <w:bCs/>
          <w:lang w:eastAsia="en-US"/>
        </w:rPr>
      </w:pPr>
    </w:p>
    <w:p w:rsidR="00B83813" w:rsidRDefault="00B83813" w:rsidP="004F08BD">
      <w:pPr>
        <w:autoSpaceDE w:val="0"/>
        <w:autoSpaceDN w:val="0"/>
        <w:adjustRightInd w:val="0"/>
        <w:spacing w:line="360" w:lineRule="auto"/>
        <w:ind w:right="51"/>
        <w:contextualSpacing/>
        <w:jc w:val="both"/>
        <w:rPr>
          <w:rFonts w:ascii="Palatino Linotype" w:hAnsi="Palatino Linotype" w:cs="Arial"/>
        </w:rPr>
      </w:pPr>
      <w:r>
        <w:rPr>
          <w:rFonts w:ascii="Palatino Linotype" w:hAnsi="Palatino Linotype" w:cs="Arial"/>
          <w:color w:val="000000"/>
        </w:rPr>
        <w:t xml:space="preserve">En ese sentido, es de precisar que </w:t>
      </w:r>
      <w:r w:rsidRPr="009045AD">
        <w:rPr>
          <w:rFonts w:ascii="Palatino Linotype" w:eastAsia="Calibri" w:hAnsi="Palatino Linotype" w:cs="Bookman Old Style,Bold"/>
          <w:bCs/>
          <w:color w:val="0D0D0D"/>
          <w:lang w:eastAsia="en-US"/>
        </w:rPr>
        <w:t xml:space="preserve">la clasificación de la información </w:t>
      </w:r>
      <w:r w:rsidRPr="008E6AD8">
        <w:rPr>
          <w:rFonts w:ascii="Palatino Linotype" w:eastAsia="Calibri" w:hAnsi="Palatino Linotype" w:cs="Bookman Old Style,Bold"/>
          <w:b/>
          <w:bCs/>
          <w:color w:val="0D0D0D"/>
          <w:lang w:eastAsia="en-US"/>
        </w:rPr>
        <w:t>no se da por el simple mandato de la Ley</w:t>
      </w:r>
      <w:r w:rsidRPr="009045AD">
        <w:rPr>
          <w:rFonts w:ascii="Palatino Linotype" w:eastAsia="Calibri" w:hAnsi="Palatino Linotype" w:cs="Bookman Old Style,Bold"/>
          <w:bCs/>
          <w:color w:val="0D0D0D"/>
          <w:lang w:eastAsia="en-US"/>
        </w:rPr>
        <w:t xml:space="preserve">, sino que </w:t>
      </w:r>
      <w:r w:rsidRPr="009045AD">
        <w:rPr>
          <w:rFonts w:ascii="Palatino Linotype" w:hAnsi="Palatino Linotype"/>
        </w:rPr>
        <w:t xml:space="preserve">es necesario que </w:t>
      </w:r>
      <w:r w:rsidRPr="009045AD">
        <w:rPr>
          <w:rFonts w:ascii="Palatino Linotype" w:hAnsi="Palatino Linotype"/>
          <w:b/>
        </w:rPr>
        <w:t xml:space="preserve">EL SUJETO OBLIGADO </w:t>
      </w:r>
      <w:r w:rsidRPr="009045AD">
        <w:rPr>
          <w:rFonts w:ascii="Palatino Linotype" w:hAnsi="Palatino Linotype"/>
        </w:rPr>
        <w:t xml:space="preserve">cuando clasifique algún documento o información, ya sea todo o en parte, debe atender lo dispuesto por </w:t>
      </w:r>
      <w:r w:rsidRPr="009045A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045AD">
        <w:rPr>
          <w:rFonts w:ascii="Palatino Linotype" w:hAnsi="Palatino Linotype" w:cs="Arial"/>
          <w:b/>
        </w:rPr>
        <w:t>SUJETO OBLIGADO</w:t>
      </w:r>
      <w:r w:rsidRPr="009045A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rsidR="004F08BD" w:rsidRDefault="004F08BD" w:rsidP="004F08BD">
      <w:pPr>
        <w:autoSpaceDE w:val="0"/>
        <w:autoSpaceDN w:val="0"/>
        <w:adjustRightInd w:val="0"/>
        <w:spacing w:line="360" w:lineRule="auto"/>
        <w:ind w:right="51"/>
        <w:contextualSpacing/>
        <w:jc w:val="both"/>
        <w:rPr>
          <w:rFonts w:ascii="Palatino Linotype" w:hAnsi="Palatino Linotype" w:cs="Arial"/>
        </w:rPr>
      </w:pPr>
    </w:p>
    <w:p w:rsidR="00B83813" w:rsidRDefault="008E6AD8" w:rsidP="004F08BD">
      <w:pPr>
        <w:spacing w:line="360" w:lineRule="auto"/>
        <w:contextualSpacing/>
        <w:jc w:val="both"/>
        <w:rPr>
          <w:rFonts w:ascii="Palatino Linotype" w:hAnsi="Palatino Linotype" w:cs="Arial"/>
        </w:rPr>
      </w:pPr>
      <w:r>
        <w:rPr>
          <w:rFonts w:ascii="Palatino Linotype" w:hAnsi="Palatino Linotype" w:cs="Arial"/>
        </w:rPr>
        <w:lastRenderedPageBreak/>
        <w:t xml:space="preserve">Por lo que, </w:t>
      </w:r>
      <w:r w:rsidR="00B83813" w:rsidRPr="009045AD">
        <w:rPr>
          <w:rFonts w:ascii="Palatino Linotype" w:hAnsi="Palatino Linotype" w:cs="Arial"/>
        </w:rPr>
        <w:t xml:space="preserve">en el caso de información de carácter reservada, se debe atender a lo que señalan los artículos 122, 125, 126, 127, 128, 129, 130, 131, 132, 133, 134, 135, 137, 140, fracción VI, 141 y 142 de la Ley de Transparencia y Acceso a la Información Pública del Estado de México y Municipios, cuyo contenido es de la literalidad siguiente: </w:t>
      </w:r>
    </w:p>
    <w:p w:rsidR="004F08BD" w:rsidRPr="009045AD" w:rsidRDefault="004F08BD" w:rsidP="004F08BD">
      <w:pPr>
        <w:spacing w:line="360" w:lineRule="auto"/>
        <w:contextualSpacing/>
        <w:jc w:val="both"/>
        <w:rPr>
          <w:rFonts w:ascii="Palatino Linotype" w:hAnsi="Palatino Linotype"/>
          <w:color w:val="000000"/>
        </w:rPr>
      </w:pP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122.</w:t>
      </w:r>
      <w:r w:rsidRPr="00FA1770">
        <w:rPr>
          <w:rFonts w:ascii="Palatino Linotype" w:hAnsi="Palatino Linotype"/>
          <w:i/>
          <w:color w:val="000000"/>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B83813" w:rsidRDefault="00B83813" w:rsidP="004F08BD">
      <w:pPr>
        <w:ind w:left="992" w:right="1043"/>
        <w:contextualSpacing/>
        <w:jc w:val="both"/>
        <w:rPr>
          <w:rFonts w:ascii="Palatino Linotype" w:hAnsi="Palatino Linotype"/>
          <w:i/>
          <w:color w:val="000000"/>
          <w:sz w:val="22"/>
          <w:szCs w:val="22"/>
        </w:rPr>
      </w:pPr>
      <w:r w:rsidRPr="0089636E">
        <w:rPr>
          <w:rFonts w:ascii="Palatino Linotype" w:hAnsi="Palatino Linotype"/>
          <w:b/>
          <w:i/>
          <w:color w:val="000000"/>
          <w:sz w:val="22"/>
          <w:szCs w:val="22"/>
        </w:rPr>
        <w:t>Los supuestos de reserva o confidencialidad previstos en las leyes deberán ser acordes con las bases, principios y disposiciones establecidos en la Ley General</w:t>
      </w:r>
      <w:r w:rsidRPr="00FA1770">
        <w:rPr>
          <w:rFonts w:ascii="Palatino Linotype" w:hAnsi="Palatino Linotype"/>
          <w:i/>
          <w:color w:val="000000"/>
          <w:sz w:val="22"/>
          <w:szCs w:val="22"/>
        </w:rPr>
        <w:t xml:space="preserve"> y, en ningún caso, podrán contravenirla.</w:t>
      </w:r>
    </w:p>
    <w:p w:rsidR="00B83813" w:rsidRPr="0089636E"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 xml:space="preserve">Los titulares de las áreas de los sujetos obligados serán los responsables de clasificar la información, de conformidad con lo dispuesto en la presente Ley </w:t>
      </w:r>
      <w:r w:rsidRPr="0089636E">
        <w:rPr>
          <w:rFonts w:ascii="Palatino Linotype" w:hAnsi="Palatino Linotype"/>
          <w:i/>
          <w:color w:val="000000"/>
          <w:sz w:val="22"/>
          <w:szCs w:val="22"/>
        </w:rPr>
        <w:t>y demás disposiciones jurídicas aplicables.</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125.</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FA1770">
        <w:rPr>
          <w:rFonts w:ascii="Palatino Linotype" w:hAnsi="Palatino Linotype"/>
          <w:i/>
          <w:color w:val="000000"/>
          <w:sz w:val="22"/>
          <w:szCs w:val="22"/>
        </w:rPr>
        <w:t>, contados a partir de su clasificación, salvo que antes del cumplimiento del periodo de restricción, dejaran de existir los motivos de su reserva.</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83813" w:rsidRPr="0089636E" w:rsidRDefault="00B83813" w:rsidP="004F08BD">
      <w:pPr>
        <w:ind w:left="992" w:right="1043"/>
        <w:contextualSpacing/>
        <w:jc w:val="both"/>
        <w:rPr>
          <w:rFonts w:ascii="Palatino Linotype" w:hAnsi="Palatino Linotype"/>
          <w:b/>
          <w:i/>
          <w:color w:val="000000"/>
          <w:sz w:val="22"/>
          <w:szCs w:val="22"/>
        </w:rPr>
      </w:pPr>
      <w:r w:rsidRPr="0089636E">
        <w:rPr>
          <w:rFonts w:ascii="Palatino Linotype" w:hAnsi="Palatino Linotype"/>
          <w:b/>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w:t>
      </w:r>
      <w:r w:rsidRPr="00FA1770">
        <w:rPr>
          <w:rFonts w:ascii="Palatino Linotype" w:hAnsi="Palatino Linotype"/>
          <w:i/>
          <w:color w:val="000000"/>
          <w:sz w:val="22"/>
          <w:szCs w:val="22"/>
        </w:rPr>
        <w:lastRenderedPageBreak/>
        <w:t>correspondiente al Instituto, debidamente fundada y motivada, aplicando la prueba de daño y señalando el plazo de reserva, por lo menos con tres meses de anticipación al vencimiento del periodo.</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126.</w:t>
      </w:r>
      <w:r w:rsidRPr="00FA1770">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127.</w:t>
      </w:r>
      <w:r w:rsidRPr="00FA1770">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En ningún caso el índice será considerado como información reservada.</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128.</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FA1770">
        <w:rPr>
          <w:rFonts w:ascii="Palatino Linotype" w:hAnsi="Palatino Linotype"/>
          <w:b/>
          <w:i/>
          <w:color w:val="000000"/>
          <w:sz w:val="22"/>
          <w:szCs w:val="22"/>
        </w:rPr>
        <w:t>Además, el sujeto obligado deberá, en todo momento, aplicar una prueba de daño.</w:t>
      </w:r>
    </w:p>
    <w:p w:rsidR="00B83813"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Tratándose de aquélla información que actualice los supuestos de clasificación, deberá señalarse el plazo al que estará sujeto la reserva.</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129.</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En la aplicación de la prueba de daño, el sujeto obligado deberá precisar las razones objetivas por las que la apertura de la información generaría una afectación, justificando que:</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II. El riesgo de perjuicio que supondría la divulgación supera el interés público general de que se difunda; y</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lastRenderedPageBreak/>
        <w:t>Artículo 130.</w:t>
      </w:r>
      <w:r w:rsidRPr="00FA1770">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B83813" w:rsidRPr="0089636E"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131.</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132.</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clasificación de la información se llevará a cabo en el momento en que:</w:t>
      </w:r>
    </w:p>
    <w:p w:rsidR="00B83813" w:rsidRPr="0089636E" w:rsidRDefault="00B83813" w:rsidP="004F08BD">
      <w:pPr>
        <w:ind w:left="992" w:right="1043"/>
        <w:contextualSpacing/>
        <w:jc w:val="both"/>
        <w:rPr>
          <w:rFonts w:ascii="Palatino Linotype" w:hAnsi="Palatino Linotype"/>
          <w:b/>
          <w:i/>
          <w:color w:val="000000"/>
          <w:sz w:val="22"/>
          <w:szCs w:val="22"/>
        </w:rPr>
      </w:pPr>
      <w:r w:rsidRPr="0089636E">
        <w:rPr>
          <w:rFonts w:ascii="Palatino Linotype" w:hAnsi="Palatino Linotype"/>
          <w:b/>
          <w:i/>
          <w:color w:val="000000"/>
          <w:sz w:val="22"/>
          <w:szCs w:val="22"/>
        </w:rPr>
        <w:t>I. Se reciba una solicitud de acceso a la información;</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II. Se determine mediante resolución de autoridad competente; o</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i/>
          <w:color w:val="000000"/>
          <w:sz w:val="22"/>
          <w:szCs w:val="22"/>
        </w:rPr>
        <w:t>III. Se generen versiones públicas para dar cumplimiento a las obligaciones de transparencia previstas en esta Ley.</w:t>
      </w:r>
    </w:p>
    <w:p w:rsidR="00B83813"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133.</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134.</w:t>
      </w:r>
      <w:r w:rsidRPr="00FA1770">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B83813" w:rsidRPr="0089636E" w:rsidRDefault="00B83813" w:rsidP="004F08BD">
      <w:pPr>
        <w:ind w:left="992" w:right="1043"/>
        <w:contextualSpacing/>
        <w:jc w:val="both"/>
        <w:rPr>
          <w:rFonts w:ascii="Palatino Linotype" w:hAnsi="Palatino Linotype"/>
          <w:i/>
          <w:color w:val="000000"/>
          <w:sz w:val="22"/>
          <w:szCs w:val="22"/>
        </w:rPr>
      </w:pPr>
      <w:r w:rsidRPr="0089636E">
        <w:rPr>
          <w:rFonts w:ascii="Palatino Linotype" w:hAnsi="Palatino Linotype"/>
          <w:i/>
          <w:color w:val="000000"/>
          <w:sz w:val="22"/>
          <w:szCs w:val="22"/>
        </w:rPr>
        <w:t>En ningún caso se podrán clasificar documentos antes de que se genere la información.</w:t>
      </w:r>
    </w:p>
    <w:p w:rsidR="00B83813" w:rsidRPr="00FA1770" w:rsidRDefault="00B83813" w:rsidP="004F08BD">
      <w:pPr>
        <w:ind w:left="992" w:right="1043"/>
        <w:contextualSpacing/>
        <w:jc w:val="both"/>
        <w:rPr>
          <w:rFonts w:ascii="Palatino Linotype" w:hAnsi="Palatino Linotype"/>
          <w:b/>
          <w:i/>
          <w:color w:val="000000"/>
          <w:sz w:val="22"/>
          <w:szCs w:val="22"/>
        </w:rPr>
      </w:pPr>
      <w:r w:rsidRPr="00FA1770">
        <w:rPr>
          <w:rFonts w:ascii="Palatino Linotype" w:hAnsi="Palatino Linotype"/>
          <w:b/>
          <w:i/>
          <w:color w:val="000000"/>
          <w:sz w:val="22"/>
          <w:szCs w:val="22"/>
        </w:rPr>
        <w:t>La clasificación de información se realizará conforme a un análisis caso por caso, mediante la aplicación de la prueba de daño.</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135.</w:t>
      </w:r>
      <w:r w:rsidRPr="00FA1770">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B83813" w:rsidRPr="00FA1770" w:rsidRDefault="00B83813" w:rsidP="004F08BD">
      <w:pPr>
        <w:ind w:left="992" w:right="1043"/>
        <w:contextualSpacing/>
        <w:jc w:val="both"/>
        <w:rPr>
          <w:rFonts w:ascii="Palatino Linotype" w:hAnsi="Palatino Linotype"/>
          <w:i/>
          <w:color w:val="000000"/>
          <w:sz w:val="22"/>
          <w:szCs w:val="22"/>
        </w:rPr>
      </w:pPr>
      <w:r w:rsidRPr="00FA1770">
        <w:rPr>
          <w:rFonts w:ascii="Palatino Linotype" w:hAnsi="Palatino Linotype"/>
          <w:b/>
          <w:i/>
          <w:color w:val="000000"/>
          <w:sz w:val="22"/>
          <w:szCs w:val="22"/>
        </w:rPr>
        <w:t>Artículo 137.</w:t>
      </w:r>
      <w:r w:rsidRPr="00FA1770">
        <w:rPr>
          <w:rFonts w:ascii="Palatino Linotype" w:hAnsi="Palatino Linotype"/>
          <w:i/>
          <w:color w:val="000000"/>
          <w:sz w:val="22"/>
          <w:szCs w:val="22"/>
        </w:rPr>
        <w:t xml:space="preserve"> Cuando un mismo medio, impreso o electrónico, contenga información pública y reservada o confidencial, la Unidad de Transparencia para </w:t>
      </w:r>
      <w:r w:rsidRPr="00FA1770">
        <w:rPr>
          <w:rFonts w:ascii="Palatino Linotype" w:hAnsi="Palatino Linotype"/>
          <w:i/>
          <w:color w:val="000000"/>
          <w:sz w:val="22"/>
          <w:szCs w:val="22"/>
        </w:rPr>
        <w:lastRenderedPageBreak/>
        <w:t>efectos de atender una solicitud de información, deberán elaborar una versión pública en la que se testen las partes o secciones clasificadas, indicando su contenido de manera genérica y fundando y motivando su clasificación.</w:t>
      </w:r>
    </w:p>
    <w:p w:rsidR="00B83813" w:rsidRPr="0089636E"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b/>
          <w:i/>
          <w:sz w:val="22"/>
          <w:szCs w:val="22"/>
        </w:rPr>
        <w:t>Artículo 140.</w:t>
      </w:r>
      <w:r w:rsidRPr="00FA1770">
        <w:rPr>
          <w:rFonts w:ascii="Palatino Linotype" w:hAnsi="Palatino Linotype"/>
          <w:i/>
          <w:sz w:val="22"/>
          <w:szCs w:val="22"/>
        </w:rPr>
        <w:t xml:space="preserve"> </w:t>
      </w:r>
      <w:r w:rsidRPr="0089636E">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rsidR="00B83813" w:rsidRPr="0089636E" w:rsidRDefault="00B83813" w:rsidP="004F08BD">
      <w:pPr>
        <w:ind w:left="992" w:right="1043"/>
        <w:contextualSpacing/>
        <w:jc w:val="both"/>
        <w:rPr>
          <w:rFonts w:ascii="Palatino Linotype" w:hAnsi="Palatino Linotype"/>
          <w:i/>
          <w:sz w:val="22"/>
          <w:szCs w:val="22"/>
        </w:rPr>
      </w:pPr>
      <w:r w:rsidRPr="0089636E">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83813" w:rsidRPr="00FA1770"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b/>
          <w:i/>
          <w:sz w:val="22"/>
          <w:szCs w:val="22"/>
        </w:rPr>
        <w:t>Artículo 141</w:t>
      </w:r>
      <w:r w:rsidRPr="00FA1770">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rsidR="00B83813" w:rsidRPr="00FA1770"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b/>
          <w:i/>
          <w:sz w:val="22"/>
          <w:szCs w:val="22"/>
        </w:rPr>
        <w:t>Artículo 142.</w:t>
      </w:r>
      <w:r w:rsidRPr="00FA1770">
        <w:rPr>
          <w:rFonts w:ascii="Palatino Linotype" w:hAnsi="Palatino Linotype"/>
          <w:i/>
          <w:sz w:val="22"/>
          <w:szCs w:val="22"/>
        </w:rPr>
        <w:t xml:space="preserve"> Bajo ninguna circunstancia podrá invocarse el carácter de reservado cuando:</w:t>
      </w:r>
    </w:p>
    <w:p w:rsidR="00B83813" w:rsidRPr="00FA1770"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i/>
          <w:sz w:val="22"/>
          <w:szCs w:val="22"/>
        </w:rPr>
        <w:t>I. Se trate de violaciones graves de derechos humanos, calificada así por autoridad competente;</w:t>
      </w:r>
    </w:p>
    <w:p w:rsidR="00B83813" w:rsidRPr="00FA1770"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83813" w:rsidRPr="00FA1770" w:rsidRDefault="00B83813" w:rsidP="004F08BD">
      <w:pPr>
        <w:ind w:left="992" w:right="1043"/>
        <w:contextualSpacing/>
        <w:jc w:val="both"/>
        <w:rPr>
          <w:rFonts w:ascii="Palatino Linotype" w:hAnsi="Palatino Linotype"/>
          <w:i/>
          <w:sz w:val="22"/>
          <w:szCs w:val="22"/>
        </w:rPr>
      </w:pPr>
      <w:r w:rsidRPr="00FA1770">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83813" w:rsidRDefault="00B83813" w:rsidP="004F08BD">
      <w:pPr>
        <w:ind w:left="992" w:right="1043"/>
        <w:contextualSpacing/>
        <w:jc w:val="both"/>
        <w:rPr>
          <w:rFonts w:ascii="Palatino Linotype" w:hAnsi="Palatino Linotype"/>
          <w:b/>
          <w:i/>
          <w:sz w:val="22"/>
          <w:szCs w:val="22"/>
        </w:rPr>
      </w:pPr>
      <w:r w:rsidRPr="00FA1770">
        <w:rPr>
          <w:rFonts w:ascii="Palatino Linotype" w:hAnsi="Palatino Linotype"/>
          <w:i/>
          <w:sz w:val="22"/>
          <w:szCs w:val="22"/>
        </w:rPr>
        <w:t>IV. Se trate de información relacionada con actos de corrupción de conformidad con las disposiciones jurídicas aplicables.</w:t>
      </w:r>
      <w:r w:rsidRPr="00FA1770">
        <w:rPr>
          <w:rFonts w:ascii="Palatino Linotype" w:hAnsi="Palatino Linotype"/>
          <w:b/>
          <w:i/>
          <w:sz w:val="22"/>
          <w:szCs w:val="22"/>
        </w:rPr>
        <w:t>”</w:t>
      </w:r>
    </w:p>
    <w:p w:rsidR="00B83813" w:rsidRPr="00FA1770" w:rsidRDefault="00B83813" w:rsidP="004F08BD">
      <w:pPr>
        <w:ind w:left="992" w:right="1043"/>
        <w:contextualSpacing/>
        <w:jc w:val="both"/>
        <w:rPr>
          <w:rFonts w:ascii="Palatino Linotype" w:hAnsi="Palatino Linotype" w:cs="Arial"/>
          <w:i/>
          <w:sz w:val="22"/>
          <w:szCs w:val="22"/>
        </w:rPr>
      </w:pPr>
      <w:r>
        <w:rPr>
          <w:rFonts w:ascii="Palatino Linotype" w:hAnsi="Palatino Linotype"/>
          <w:i/>
          <w:sz w:val="22"/>
          <w:szCs w:val="22"/>
        </w:rPr>
        <w:t>(Énfasis añadido)</w:t>
      </w:r>
    </w:p>
    <w:p w:rsidR="004F08BD" w:rsidRDefault="004F08BD" w:rsidP="004F08BD">
      <w:pPr>
        <w:spacing w:line="360" w:lineRule="auto"/>
        <w:contextualSpacing/>
        <w:jc w:val="both"/>
        <w:rPr>
          <w:rFonts w:ascii="Palatino Linotype" w:hAnsi="Palatino Linotype" w:cs="Arial"/>
          <w:lang w:eastAsia="es-CO"/>
        </w:rPr>
      </w:pPr>
    </w:p>
    <w:p w:rsidR="00B83813" w:rsidRDefault="00B83813" w:rsidP="004F08BD">
      <w:pPr>
        <w:spacing w:line="360" w:lineRule="auto"/>
        <w:contextualSpacing/>
        <w:jc w:val="both"/>
        <w:rPr>
          <w:rFonts w:ascii="Palatino Linotype" w:hAnsi="Palatino Linotype" w:cs="Arial"/>
          <w:lang w:eastAsia="es-CO"/>
        </w:rPr>
      </w:pPr>
      <w:r w:rsidRPr="009045AD">
        <w:rPr>
          <w:rFonts w:ascii="Palatino Linotype" w:hAnsi="Palatino Linotype" w:cs="Arial"/>
          <w:lang w:eastAsia="es-CO"/>
        </w:rPr>
        <w:t xml:space="preserve">Es decir, en los casos en los que se clasifique como reservada la información solicitada, </w:t>
      </w:r>
      <w:r w:rsidRPr="009045AD">
        <w:rPr>
          <w:rFonts w:ascii="Palatino Linotype" w:hAnsi="Palatino Linotype" w:cs="Arial"/>
          <w:b/>
          <w:color w:val="000000"/>
          <w:lang w:eastAsia="es-MX"/>
        </w:rPr>
        <w:t>EL SUJETO OBLIGADO</w:t>
      </w:r>
      <w:r w:rsidRPr="009045AD">
        <w:rPr>
          <w:rFonts w:ascii="Palatino Linotype" w:hAnsi="Palatino Linotype" w:cs="Arial"/>
          <w:lang w:eastAsia="es-CO"/>
        </w:rPr>
        <w:t xml:space="preserve"> deberá </w:t>
      </w:r>
      <w:r w:rsidRPr="008E6AD8">
        <w:rPr>
          <w:rFonts w:ascii="Palatino Linotype" w:hAnsi="Palatino Linotype" w:cs="Arial"/>
          <w:lang w:eastAsia="es-CO"/>
        </w:rPr>
        <w:t xml:space="preserve">motivar la clasificación de la información, debiendo </w:t>
      </w:r>
      <w:r w:rsidRPr="008E6AD8">
        <w:rPr>
          <w:rFonts w:ascii="Palatino Linotype" w:hAnsi="Palatino Linotype" w:cs="Arial"/>
          <w:lang w:eastAsia="es-CO"/>
        </w:rPr>
        <w:lastRenderedPageBreak/>
        <w:t>señalar las razones, motivos o circunstancias especiales que lo llevaron a concluir que el caso particular se ajusta al supuesto previsto por la norma legal invocada c</w:t>
      </w:r>
      <w:r w:rsidRPr="009045AD">
        <w:rPr>
          <w:rFonts w:ascii="Palatino Linotype" w:hAnsi="Palatino Linotype" w:cs="Arial"/>
          <w:lang w:eastAsia="es-CO"/>
        </w:rPr>
        <w:t xml:space="preserve">omo fundamento, además, </w:t>
      </w:r>
      <w:r w:rsidRPr="009045AD">
        <w:rPr>
          <w:rFonts w:ascii="Palatino Linotype" w:hAnsi="Palatino Linotype" w:cs="Arial"/>
          <w:b/>
          <w:lang w:eastAsia="es-CO"/>
        </w:rPr>
        <w:t xml:space="preserve">EL SUJETO OBLIGADO </w:t>
      </w:r>
      <w:r w:rsidRPr="009045AD">
        <w:rPr>
          <w:rFonts w:ascii="Palatino Linotype" w:hAnsi="Palatino Linotype" w:cs="Arial"/>
          <w:lang w:eastAsia="es-CO"/>
        </w:rPr>
        <w:t>deberá,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adecúa al principio de proporcionalidad y representa el medio menos restrictivo disponible para evitar el perjuicio.</w:t>
      </w:r>
    </w:p>
    <w:p w:rsidR="004F08BD" w:rsidRDefault="004F08BD" w:rsidP="004F08BD">
      <w:pPr>
        <w:spacing w:line="360" w:lineRule="auto"/>
        <w:contextualSpacing/>
        <w:jc w:val="both"/>
        <w:rPr>
          <w:rFonts w:ascii="Palatino Linotype" w:hAnsi="Palatino Linotype" w:cs="Arial"/>
          <w:lang w:eastAsia="es-CO"/>
        </w:rPr>
      </w:pPr>
    </w:p>
    <w:p w:rsidR="00B83813" w:rsidRDefault="00B83813" w:rsidP="004F08BD">
      <w:pPr>
        <w:spacing w:line="360" w:lineRule="auto"/>
        <w:contextualSpacing/>
        <w:jc w:val="both"/>
        <w:rPr>
          <w:rFonts w:ascii="Palatino Linotype" w:hAnsi="Palatino Linotype" w:cs="Arial"/>
          <w:lang w:eastAsia="es-CO"/>
        </w:rPr>
      </w:pPr>
      <w:r>
        <w:rPr>
          <w:rFonts w:ascii="Palatino Linotype" w:hAnsi="Palatino Linotype" w:cs="Arial"/>
          <w:lang w:eastAsia="es-CO"/>
        </w:rPr>
        <w:t xml:space="preserve">Aunado a que la clasificación de la información se llevará a cabo en el momento en que se reciba una solicitud de información, mientras que </w:t>
      </w:r>
      <w:r>
        <w:rPr>
          <w:rFonts w:ascii="Palatino Linotype" w:hAnsi="Palatino Linotype" w:cs="Arial"/>
          <w:b/>
          <w:lang w:eastAsia="es-CO"/>
        </w:rPr>
        <w:t xml:space="preserve">EL SUJETO OBLIGADO </w:t>
      </w:r>
      <w:r>
        <w:rPr>
          <w:rFonts w:ascii="Palatino Linotype" w:hAnsi="Palatino Linotype" w:cs="Arial"/>
          <w:lang w:eastAsia="es-CO"/>
        </w:rPr>
        <w:t>clasificó con un Acuerdo de reserva de la información antes de recibir dicha solicitud; por lo que se debió someter al Comité de Transparencia a efecto de que de ser el caso se confirmara su clasificación.</w:t>
      </w:r>
    </w:p>
    <w:p w:rsidR="004F08BD" w:rsidRDefault="004F08BD" w:rsidP="004F08BD">
      <w:pPr>
        <w:spacing w:line="360" w:lineRule="auto"/>
        <w:contextualSpacing/>
        <w:jc w:val="both"/>
        <w:rPr>
          <w:rFonts w:ascii="Palatino Linotype" w:hAnsi="Palatino Linotype" w:cs="Arial"/>
          <w:lang w:eastAsia="es-CO"/>
        </w:rPr>
      </w:pPr>
    </w:p>
    <w:p w:rsidR="00164C3E" w:rsidRDefault="00164C3E" w:rsidP="004F08BD">
      <w:pPr>
        <w:spacing w:line="360" w:lineRule="auto"/>
        <w:ind w:right="49"/>
        <w:contextualSpacing/>
        <w:jc w:val="both"/>
        <w:rPr>
          <w:rFonts w:ascii="Palatino Linotype" w:hAnsi="Palatino Linotype" w:cs="Arial"/>
        </w:rPr>
      </w:pPr>
      <w:r>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4F08BD" w:rsidRDefault="004F08BD" w:rsidP="004F08BD">
      <w:pPr>
        <w:spacing w:line="360" w:lineRule="auto"/>
        <w:ind w:right="49"/>
        <w:contextualSpacing/>
        <w:jc w:val="both"/>
        <w:rPr>
          <w:rFonts w:ascii="Palatino Linotype" w:hAnsi="Palatino Linotype" w:cs="Arial"/>
        </w:rPr>
      </w:pPr>
    </w:p>
    <w:p w:rsidR="00164C3E" w:rsidRPr="00BC6B31" w:rsidRDefault="00164C3E" w:rsidP="004F08BD">
      <w:pPr>
        <w:pStyle w:val="Textoindependiente2"/>
        <w:spacing w:after="0" w:line="240" w:lineRule="auto"/>
        <w:ind w:left="851" w:right="899"/>
        <w:contextualSpacing/>
        <w:jc w:val="both"/>
        <w:rPr>
          <w:rFonts w:ascii="Palatino Linotype" w:hAnsi="Palatino Linotype" w:cs="Arial"/>
          <w:i/>
          <w:sz w:val="22"/>
          <w:szCs w:val="22"/>
        </w:rPr>
      </w:pPr>
      <w:r w:rsidRPr="00BC6B31">
        <w:rPr>
          <w:rFonts w:ascii="Palatino Linotype" w:hAnsi="Palatino Linotype" w:cs="Arial"/>
          <w:i/>
          <w:sz w:val="22"/>
          <w:szCs w:val="22"/>
        </w:rPr>
        <w:t>“</w:t>
      </w:r>
      <w:r w:rsidRPr="00BC6B31">
        <w:rPr>
          <w:rFonts w:ascii="Palatino Linotype" w:hAnsi="Palatino Linotype" w:cs="Arial"/>
          <w:b/>
          <w:i/>
          <w:sz w:val="22"/>
          <w:szCs w:val="22"/>
        </w:rPr>
        <w:t xml:space="preserve">FUNDAMENTACION Y MOTIVACION. </w:t>
      </w:r>
      <w:r w:rsidRPr="00BC6B31">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w:t>
      </w:r>
      <w:r w:rsidRPr="00BC6B31">
        <w:rPr>
          <w:rFonts w:ascii="Palatino Linotype" w:hAnsi="Palatino Linotype" w:cs="Arial"/>
          <w:i/>
          <w:sz w:val="22"/>
          <w:szCs w:val="22"/>
        </w:rPr>
        <w:lastRenderedPageBreak/>
        <w:t>llevaron a la autoridad a concluir que el caso particular encuadra en el supuesto previsto por la norma legal invocada como fundamento.</w:t>
      </w:r>
    </w:p>
    <w:p w:rsidR="00164C3E" w:rsidRPr="00BC6B31" w:rsidRDefault="00164C3E" w:rsidP="004F08BD">
      <w:pPr>
        <w:pStyle w:val="Textoindependiente2"/>
        <w:spacing w:after="0" w:line="240" w:lineRule="auto"/>
        <w:ind w:left="851" w:right="616"/>
        <w:contextualSpacing/>
        <w:jc w:val="both"/>
        <w:rPr>
          <w:rFonts w:ascii="Palatino Linotype" w:hAnsi="Palatino Linotype" w:cs="Arial"/>
          <w:i/>
          <w:sz w:val="22"/>
          <w:szCs w:val="22"/>
        </w:rPr>
      </w:pPr>
      <w:r w:rsidRPr="00BC6B31">
        <w:rPr>
          <w:rFonts w:ascii="Palatino Linotype" w:hAnsi="Palatino Linotype" w:cs="Arial"/>
          <w:i/>
          <w:sz w:val="22"/>
          <w:szCs w:val="22"/>
        </w:rPr>
        <w:t>…” (sic)</w:t>
      </w:r>
    </w:p>
    <w:p w:rsidR="004F08BD" w:rsidRDefault="004F08BD" w:rsidP="004F08BD">
      <w:pPr>
        <w:spacing w:line="360" w:lineRule="auto"/>
        <w:ind w:right="49"/>
        <w:contextualSpacing/>
        <w:jc w:val="both"/>
        <w:rPr>
          <w:rFonts w:ascii="Palatino Linotype" w:hAnsi="Palatino Linotype" w:cs="Arial"/>
        </w:rPr>
      </w:pPr>
    </w:p>
    <w:p w:rsidR="00164C3E" w:rsidRDefault="00164C3E" w:rsidP="004F08BD">
      <w:pPr>
        <w:spacing w:line="360" w:lineRule="auto"/>
        <w:ind w:right="49"/>
        <w:contextualSpacing/>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4F08BD" w:rsidRDefault="004F08BD" w:rsidP="004F08BD">
      <w:pPr>
        <w:spacing w:line="360" w:lineRule="auto"/>
        <w:ind w:right="49"/>
        <w:contextualSpacing/>
        <w:jc w:val="both"/>
        <w:rPr>
          <w:rFonts w:ascii="Palatino Linotype" w:hAnsi="Palatino Linotype" w:cs="Arial"/>
        </w:rPr>
      </w:pPr>
    </w:p>
    <w:p w:rsidR="00164C3E" w:rsidRPr="00577CBF" w:rsidRDefault="00164C3E" w:rsidP="004F08BD">
      <w:pPr>
        <w:pStyle w:val="Textoindependiente2"/>
        <w:spacing w:after="0" w:line="240" w:lineRule="auto"/>
        <w:ind w:left="851" w:right="902"/>
        <w:contextualSpacing/>
        <w:jc w:val="both"/>
        <w:rPr>
          <w:rFonts w:ascii="Palatino Linotype" w:hAnsi="Palatino Linotype" w:cs="Arial"/>
          <w:i/>
          <w:sz w:val="22"/>
          <w:szCs w:val="22"/>
        </w:rPr>
      </w:pPr>
      <w:r w:rsidRPr="002D6AE8">
        <w:rPr>
          <w:rFonts w:ascii="Palatino Linotype" w:hAnsi="Palatino Linotype" w:cs="Arial"/>
          <w:i/>
          <w:sz w:val="22"/>
          <w:szCs w:val="22"/>
        </w:rPr>
        <w:t>“</w:t>
      </w:r>
      <w:r w:rsidRPr="002D6AE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D6AE8">
        <w:rPr>
          <w:rFonts w:ascii="Palatino Linotype" w:hAnsi="Palatino Linotype" w:cs="Arial"/>
          <w:i/>
          <w:sz w:val="22"/>
          <w:szCs w:val="22"/>
        </w:rPr>
        <w:t xml:space="preserve">. El contenido formal de la garantía de legalidad prevista en el artículo 16 constitucional relativa a </w:t>
      </w:r>
      <w:r w:rsidRPr="00577CBF">
        <w:rPr>
          <w:rFonts w:ascii="Palatino Linotype" w:hAnsi="Palatino Linotype" w:cs="Arial"/>
          <w:i/>
          <w:sz w:val="22"/>
          <w:szCs w:val="22"/>
        </w:rPr>
        <w:t>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164C3E" w:rsidRDefault="00164C3E" w:rsidP="004F08BD">
      <w:pPr>
        <w:spacing w:line="360" w:lineRule="auto"/>
        <w:ind w:right="51"/>
        <w:contextualSpacing/>
        <w:jc w:val="both"/>
        <w:rPr>
          <w:rFonts w:ascii="Palatino Linotype" w:hAnsi="Palatino Linotype" w:cs="Arial"/>
        </w:rPr>
      </w:pPr>
      <w:r>
        <w:rPr>
          <w:rFonts w:ascii="Palatino Linotype" w:hAnsi="Palatino Linotype" w:cs="Arial"/>
        </w:rPr>
        <w:lastRenderedPageBreak/>
        <w:t>Por lo cual,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F08BD" w:rsidRDefault="004F08BD" w:rsidP="004F08BD">
      <w:pPr>
        <w:spacing w:line="360" w:lineRule="auto"/>
        <w:ind w:right="51"/>
        <w:contextualSpacing/>
        <w:jc w:val="both"/>
        <w:rPr>
          <w:rFonts w:ascii="Palatino Linotype" w:hAnsi="Palatino Linotype" w:cs="Arial"/>
        </w:rPr>
      </w:pPr>
    </w:p>
    <w:p w:rsidR="00F77A24" w:rsidRDefault="00F77A24" w:rsidP="004F08BD">
      <w:pPr>
        <w:widowControl w:val="0"/>
        <w:autoSpaceDE w:val="0"/>
        <w:autoSpaceDN w:val="0"/>
        <w:adjustRightInd w:val="0"/>
        <w:spacing w:line="360" w:lineRule="auto"/>
        <w:ind w:right="51"/>
        <w:contextualSpacing/>
        <w:jc w:val="both"/>
        <w:rPr>
          <w:rFonts w:ascii="Palatino Linotype" w:hAnsi="Palatino Linotype" w:cs="Arial"/>
        </w:rPr>
      </w:pPr>
      <w:r>
        <w:rPr>
          <w:rFonts w:ascii="Palatino Linotype" w:hAnsi="Palatino Linotype" w:cs="Arial"/>
        </w:rPr>
        <w:t xml:space="preserve">De todo lo expuesto, la suscrita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se insiste en que lo procedente era que la Ponencia Resolutora tanto en estudio como en resolutivos precisara que para el caso de que los oficios de los que se estaba ordenando su entrega contuvieran información considerada como reservada, </w:t>
      </w:r>
      <w:r>
        <w:rPr>
          <w:rFonts w:ascii="Palatino Linotype" w:hAnsi="Palatino Linotype" w:cs="Arial"/>
          <w:b/>
        </w:rPr>
        <w:t xml:space="preserve">EL SUJETO OBLIGADO </w:t>
      </w:r>
      <w:r>
        <w:rPr>
          <w:rFonts w:ascii="Palatino Linotype" w:hAnsi="Palatino Linotype" w:cs="Arial"/>
        </w:rPr>
        <w:t>debía mediante su Comité de Transparencia emitir un Acuerdo de clasificación de la información y de esa manera garantizar el derech</w:t>
      </w:r>
      <w:r w:rsidR="00F24617">
        <w:rPr>
          <w:rFonts w:ascii="Palatino Linotype" w:hAnsi="Palatino Linotype" w:cs="Arial"/>
        </w:rPr>
        <w:t xml:space="preserve">o de acceso a la información de la hoy </w:t>
      </w:r>
      <w:r w:rsidR="00F24617">
        <w:rPr>
          <w:rFonts w:ascii="Palatino Linotype" w:hAnsi="Palatino Linotype" w:cs="Arial"/>
          <w:b/>
        </w:rPr>
        <w:t>RECURRENTE,</w:t>
      </w:r>
      <w:r w:rsidR="00F24617">
        <w:rPr>
          <w:rFonts w:ascii="Palatino Linotype" w:hAnsi="Palatino Linotype" w:cs="Arial"/>
        </w:rPr>
        <w:t xml:space="preserve"> ello</w:t>
      </w:r>
      <w:r>
        <w:rPr>
          <w:rFonts w:ascii="Palatino Linotype" w:hAnsi="Palatino Linotype" w:cs="Arial"/>
          <w:b/>
        </w:rPr>
        <w:t xml:space="preserve"> </w:t>
      </w:r>
      <w:r>
        <w:rPr>
          <w:rFonts w:ascii="Palatino Linotype" w:hAnsi="Palatino Linotype" w:cs="Arial"/>
        </w:rPr>
        <w:t>atendiendo al artícul</w:t>
      </w:r>
      <w:bookmarkStart w:id="0" w:name="_GoBack"/>
      <w:bookmarkEnd w:id="0"/>
      <w:r>
        <w:rPr>
          <w:rFonts w:ascii="Palatino Linotype" w:hAnsi="Palatino Linotype" w:cs="Arial"/>
        </w:rPr>
        <w:t>o 9 de la Ley de Transparencia y Acceso a la Información Pública del Estado de México y Municipios.</w:t>
      </w:r>
    </w:p>
    <w:p w:rsidR="004F08BD" w:rsidRDefault="004F08BD" w:rsidP="004F08BD">
      <w:pPr>
        <w:widowControl w:val="0"/>
        <w:autoSpaceDE w:val="0"/>
        <w:autoSpaceDN w:val="0"/>
        <w:adjustRightInd w:val="0"/>
        <w:spacing w:line="360" w:lineRule="auto"/>
        <w:ind w:right="51"/>
        <w:contextualSpacing/>
        <w:jc w:val="both"/>
        <w:rPr>
          <w:rFonts w:ascii="Palatino Linotype" w:hAnsi="Palatino Linotype" w:cs="Arial"/>
        </w:rPr>
      </w:pPr>
    </w:p>
    <w:p w:rsidR="004F08BD" w:rsidRDefault="004F08BD" w:rsidP="004F08BD">
      <w:pPr>
        <w:widowControl w:val="0"/>
        <w:autoSpaceDE w:val="0"/>
        <w:autoSpaceDN w:val="0"/>
        <w:adjustRightInd w:val="0"/>
        <w:spacing w:line="360" w:lineRule="auto"/>
        <w:ind w:right="51"/>
        <w:contextualSpacing/>
        <w:jc w:val="both"/>
        <w:rPr>
          <w:rFonts w:ascii="Palatino Linotype" w:hAnsi="Palatino Linotype" w:cs="Arial"/>
        </w:rPr>
      </w:pPr>
    </w:p>
    <w:p w:rsidR="001965D9" w:rsidRDefault="001965D9" w:rsidP="004F08BD">
      <w:pPr>
        <w:widowControl w:val="0"/>
        <w:autoSpaceDE w:val="0"/>
        <w:autoSpaceDN w:val="0"/>
        <w:adjustRightInd w:val="0"/>
        <w:spacing w:line="360" w:lineRule="auto"/>
        <w:ind w:right="51"/>
        <w:contextualSpacing/>
        <w:jc w:val="both"/>
        <w:rPr>
          <w:rFonts w:ascii="Palatino Linotype" w:hAnsi="Palatino Linotype" w:cs="Arial"/>
        </w:rPr>
      </w:pPr>
    </w:p>
    <w:p w:rsidR="001965D9" w:rsidRDefault="001965D9" w:rsidP="004F08BD">
      <w:pPr>
        <w:widowControl w:val="0"/>
        <w:autoSpaceDE w:val="0"/>
        <w:autoSpaceDN w:val="0"/>
        <w:adjustRightInd w:val="0"/>
        <w:spacing w:line="360" w:lineRule="auto"/>
        <w:ind w:right="51"/>
        <w:contextualSpacing/>
        <w:jc w:val="both"/>
        <w:rPr>
          <w:rFonts w:ascii="Palatino Linotype" w:hAnsi="Palatino Linotype" w:cs="Arial"/>
        </w:rPr>
      </w:pPr>
    </w:p>
    <w:p w:rsidR="004F08BD" w:rsidRDefault="004F08BD" w:rsidP="004F08BD">
      <w:pPr>
        <w:widowControl w:val="0"/>
        <w:autoSpaceDE w:val="0"/>
        <w:autoSpaceDN w:val="0"/>
        <w:adjustRightInd w:val="0"/>
        <w:spacing w:line="360" w:lineRule="auto"/>
        <w:ind w:right="51"/>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164C3E" w:rsidRPr="006D731E" w:rsidTr="00253CA0">
        <w:trPr>
          <w:jc w:val="center"/>
        </w:trPr>
        <w:tc>
          <w:tcPr>
            <w:tcW w:w="4393" w:type="dxa"/>
          </w:tcPr>
          <w:p w:rsidR="00164C3E" w:rsidRPr="006D731E" w:rsidRDefault="00164C3E" w:rsidP="004F08BD">
            <w:pPr>
              <w:contextualSpacing/>
              <w:jc w:val="center"/>
              <w:rPr>
                <w:rFonts w:ascii="Palatino Linotype" w:hAnsi="Palatino Linotype"/>
                <w:b/>
              </w:rPr>
            </w:pPr>
            <w:r w:rsidRPr="006D731E">
              <w:rPr>
                <w:rFonts w:ascii="Palatino Linotype" w:hAnsi="Palatino Linotype"/>
                <w:b/>
              </w:rPr>
              <w:t xml:space="preserve">EVA ABAID YAPUR </w:t>
            </w:r>
          </w:p>
          <w:p w:rsidR="00164C3E" w:rsidRPr="006D731E" w:rsidRDefault="00164C3E" w:rsidP="001965D9">
            <w:pPr>
              <w:contextualSpacing/>
              <w:jc w:val="center"/>
              <w:rPr>
                <w:rFonts w:ascii="Palatino Linotype" w:hAnsi="Palatino Linotype"/>
                <w:b/>
              </w:rPr>
            </w:pPr>
            <w:r w:rsidRPr="006D731E">
              <w:rPr>
                <w:rFonts w:ascii="Palatino Linotype" w:hAnsi="Palatino Linotype"/>
                <w:b/>
              </w:rPr>
              <w:t>COMISIONADA</w:t>
            </w:r>
          </w:p>
        </w:tc>
      </w:tr>
    </w:tbl>
    <w:p w:rsidR="004F08BD" w:rsidRDefault="004F08BD" w:rsidP="004F08BD">
      <w:pPr>
        <w:contextualSpacing/>
        <w:jc w:val="both"/>
        <w:rPr>
          <w:rFonts w:ascii="Palatino Linotype" w:eastAsia="Calibri" w:hAnsi="Palatino Linotype" w:cs="Arial"/>
          <w:sz w:val="18"/>
          <w:szCs w:val="18"/>
        </w:rPr>
      </w:pPr>
    </w:p>
    <w:p w:rsidR="004F08BD" w:rsidRDefault="004F08BD" w:rsidP="004F08BD">
      <w:pPr>
        <w:contextualSpacing/>
        <w:jc w:val="both"/>
        <w:rPr>
          <w:rFonts w:ascii="Palatino Linotype" w:eastAsia="Calibri" w:hAnsi="Palatino Linotype" w:cs="Arial"/>
          <w:sz w:val="18"/>
          <w:szCs w:val="18"/>
        </w:rPr>
      </w:pPr>
    </w:p>
    <w:p w:rsidR="004F08BD" w:rsidRDefault="00164C3E" w:rsidP="004F08BD">
      <w:pPr>
        <w:contextualSpacing/>
        <w:jc w:val="both"/>
        <w:rPr>
          <w:rFonts w:ascii="Palatino Linotype" w:eastAsia="Calibri" w:hAnsi="Palatino Linotype" w:cs="Arial"/>
          <w:sz w:val="20"/>
          <w:szCs w:val="18"/>
        </w:rPr>
      </w:pPr>
      <w:r w:rsidRPr="001965D9">
        <w:rPr>
          <w:rFonts w:ascii="Palatino Linotype" w:eastAsia="Calibri" w:hAnsi="Palatino Linotype" w:cs="Arial"/>
          <w:sz w:val="20"/>
          <w:szCs w:val="18"/>
        </w:rPr>
        <w:t xml:space="preserve">Esta hoja corresponde al voto particular emitido en la resolución del recurso de revisión </w:t>
      </w:r>
      <w:r w:rsidR="00F24617" w:rsidRPr="001965D9">
        <w:rPr>
          <w:rFonts w:ascii="Palatino Linotype" w:eastAsia="Calibri" w:hAnsi="Palatino Linotype" w:cs="Arial"/>
          <w:sz w:val="20"/>
          <w:szCs w:val="18"/>
        </w:rPr>
        <w:t>04256</w:t>
      </w:r>
      <w:r w:rsidRPr="001965D9">
        <w:rPr>
          <w:rFonts w:ascii="Palatino Linotype" w:eastAsia="Calibri" w:hAnsi="Palatino Linotype" w:cs="Arial"/>
          <w:sz w:val="20"/>
          <w:szCs w:val="18"/>
        </w:rPr>
        <w:t>/INFOEM/IP/RR/2018, aprobada el tre</w:t>
      </w:r>
      <w:r w:rsidR="00F24617" w:rsidRPr="001965D9">
        <w:rPr>
          <w:rFonts w:ascii="Palatino Linotype" w:eastAsia="Calibri" w:hAnsi="Palatino Linotype" w:cs="Arial"/>
          <w:sz w:val="20"/>
          <w:szCs w:val="18"/>
        </w:rPr>
        <w:t xml:space="preserve">inta de enero de </w:t>
      </w:r>
      <w:r w:rsidRPr="001965D9">
        <w:rPr>
          <w:rFonts w:ascii="Palatino Linotype" w:eastAsia="Calibri" w:hAnsi="Palatino Linotype" w:cs="Arial"/>
          <w:sz w:val="20"/>
          <w:szCs w:val="18"/>
        </w:rPr>
        <w:t>dos mil dieci</w:t>
      </w:r>
      <w:r w:rsidR="00F24617" w:rsidRPr="001965D9">
        <w:rPr>
          <w:rFonts w:ascii="Palatino Linotype" w:eastAsia="Calibri" w:hAnsi="Palatino Linotype" w:cs="Arial"/>
          <w:sz w:val="20"/>
          <w:szCs w:val="18"/>
        </w:rPr>
        <w:t>nueve</w:t>
      </w:r>
      <w:r w:rsidRPr="001965D9">
        <w:rPr>
          <w:rFonts w:ascii="Palatino Linotype" w:eastAsia="Calibri" w:hAnsi="Palatino Linotype" w:cs="Arial"/>
          <w:sz w:val="20"/>
          <w:szCs w:val="18"/>
        </w:rPr>
        <w:t xml:space="preserve">. </w:t>
      </w:r>
    </w:p>
    <w:p w:rsidR="001965D9" w:rsidRPr="001965D9" w:rsidRDefault="001965D9" w:rsidP="004F08BD">
      <w:pPr>
        <w:contextualSpacing/>
        <w:jc w:val="both"/>
        <w:rPr>
          <w:rFonts w:ascii="Palatino Linotype" w:eastAsia="Calibri" w:hAnsi="Palatino Linotype" w:cs="Arial"/>
          <w:sz w:val="6"/>
          <w:szCs w:val="6"/>
        </w:rPr>
      </w:pPr>
    </w:p>
    <w:p w:rsidR="00C23B43" w:rsidRPr="00017EBF" w:rsidRDefault="00164C3E" w:rsidP="004F08BD">
      <w:pPr>
        <w:contextualSpacing/>
        <w:jc w:val="both"/>
        <w:rPr>
          <w:sz w:val="18"/>
          <w:szCs w:val="18"/>
        </w:rPr>
      </w:pPr>
      <w:r w:rsidRPr="001965D9">
        <w:rPr>
          <w:rFonts w:ascii="Palatino Linotype" w:eastAsia="Calibri" w:hAnsi="Palatino Linotype" w:cs="Arial"/>
          <w:sz w:val="20"/>
          <w:szCs w:val="18"/>
        </w:rPr>
        <w:t>YSM/AMV</w:t>
      </w:r>
    </w:p>
    <w:sectPr w:rsidR="00C23B43" w:rsidRPr="00017EBF"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43" w:rsidRDefault="00880043" w:rsidP="00164C3E">
      <w:r>
        <w:separator/>
      </w:r>
    </w:p>
  </w:endnote>
  <w:endnote w:type="continuationSeparator" w:id="0">
    <w:p w:rsidR="00880043" w:rsidRDefault="00880043" w:rsidP="0016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80043" w:rsidP="003056D9">
    <w:pPr>
      <w:pStyle w:val="Piedepgina"/>
      <w:tabs>
        <w:tab w:val="clear" w:pos="4252"/>
        <w:tab w:val="left" w:pos="4228"/>
      </w:tabs>
      <w:rPr>
        <w:rFonts w:ascii="Palatino Linotype" w:hAnsi="Palatino Linotype" w:cs="Arial"/>
        <w:b/>
        <w:bCs/>
        <w:sz w:val="20"/>
        <w:szCs w:val="20"/>
      </w:rPr>
    </w:pPr>
  </w:p>
  <w:p w:rsidR="003056D9" w:rsidRDefault="00880043" w:rsidP="003056D9">
    <w:pPr>
      <w:pStyle w:val="Piedepgina"/>
      <w:tabs>
        <w:tab w:val="clear" w:pos="4252"/>
        <w:tab w:val="left" w:pos="4228"/>
      </w:tabs>
      <w:rPr>
        <w:rFonts w:ascii="Palatino Linotype" w:hAnsi="Palatino Linotype" w:cs="Arial"/>
        <w:b/>
        <w:bCs/>
        <w:sz w:val="20"/>
        <w:szCs w:val="20"/>
      </w:rPr>
    </w:pPr>
  </w:p>
  <w:p w:rsidR="003056D9" w:rsidRDefault="00880043" w:rsidP="003056D9">
    <w:pPr>
      <w:pStyle w:val="Piedepgina"/>
      <w:tabs>
        <w:tab w:val="clear" w:pos="4252"/>
        <w:tab w:val="left" w:pos="4228"/>
      </w:tabs>
      <w:rPr>
        <w:rFonts w:ascii="Palatino Linotype" w:hAnsi="Palatino Linotype" w:cs="Arial"/>
        <w:b/>
        <w:bCs/>
        <w:sz w:val="20"/>
        <w:szCs w:val="20"/>
      </w:rPr>
    </w:pPr>
  </w:p>
  <w:p w:rsidR="00455CB3" w:rsidRDefault="00880043" w:rsidP="000E2B1A">
    <w:pPr>
      <w:pStyle w:val="Piedepgina"/>
      <w:rPr>
        <w:rFonts w:ascii="Palatino Linotype" w:hAnsi="Palatino Linotype" w:cs="Arial"/>
        <w:b/>
        <w:bCs/>
        <w:sz w:val="20"/>
        <w:szCs w:val="20"/>
      </w:rPr>
    </w:pPr>
  </w:p>
  <w:p w:rsidR="003056D9" w:rsidRPr="00F12350" w:rsidRDefault="00681EC7"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965D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965D9">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6F30F8" w:rsidRDefault="0088004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43" w:rsidRDefault="00880043" w:rsidP="00164C3E">
      <w:r>
        <w:separator/>
      </w:r>
    </w:p>
  </w:footnote>
  <w:footnote w:type="continuationSeparator" w:id="0">
    <w:p w:rsidR="00880043" w:rsidRDefault="00880043" w:rsidP="0016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80043"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681EC7">
      <w:rPr>
        <w:rFonts w:ascii="Palatino Linotype" w:hAnsi="Palatino Linotype"/>
        <w:noProof/>
        <w:lang w:val="es-MX" w:eastAsia="es-MX"/>
      </w:rPr>
      <w:drawing>
        <wp:anchor distT="0" distB="0" distL="114300" distR="114300" simplePos="0" relativeHeight="251657216" behindDoc="1" locked="0" layoutInCell="1" allowOverlap="1" wp14:anchorId="189844C0" wp14:editId="24923565">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125D2F" w:rsidRDefault="00880043"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880043"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681EC7"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681EC7"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164C3E">
      <w:rPr>
        <w:rFonts w:ascii="Palatino Linotype" w:hAnsi="Palatino Linotype" w:cs="Arial"/>
        <w:sz w:val="20"/>
        <w:szCs w:val="20"/>
      </w:rPr>
      <w:t>04256</w:t>
    </w:r>
    <w:r w:rsidRPr="00954188">
      <w:rPr>
        <w:rFonts w:ascii="Palatino Linotype" w:hAnsi="Palatino Linotype" w:cs="Arial"/>
        <w:sz w:val="20"/>
        <w:szCs w:val="20"/>
      </w:rPr>
      <w:t>/INFOEM/IP/RR/2018</w:t>
    </w:r>
  </w:p>
  <w:p w:rsidR="00125D2F" w:rsidRDefault="00880043"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81.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3E"/>
    <w:rsid w:val="00017EBF"/>
    <w:rsid w:val="00164C3E"/>
    <w:rsid w:val="001965D9"/>
    <w:rsid w:val="001A06B6"/>
    <w:rsid w:val="002277E3"/>
    <w:rsid w:val="004F08BD"/>
    <w:rsid w:val="00681EC7"/>
    <w:rsid w:val="007839DC"/>
    <w:rsid w:val="00880043"/>
    <w:rsid w:val="008E6AD8"/>
    <w:rsid w:val="00A006E1"/>
    <w:rsid w:val="00A74C0E"/>
    <w:rsid w:val="00AD0FEC"/>
    <w:rsid w:val="00B83813"/>
    <w:rsid w:val="00C23B43"/>
    <w:rsid w:val="00C9714C"/>
    <w:rsid w:val="00F24617"/>
    <w:rsid w:val="00F77A24"/>
    <w:rsid w:val="00FD6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44F34B-BC6F-4908-8A5B-F93DEA55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C3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C3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64C3E"/>
    <w:rPr>
      <w:rFonts w:eastAsiaTheme="minorEastAsia"/>
      <w:sz w:val="24"/>
      <w:szCs w:val="24"/>
      <w:lang w:val="es-ES_tradnl" w:eastAsia="es-ES"/>
    </w:rPr>
  </w:style>
  <w:style w:type="paragraph" w:styleId="Piedepgina">
    <w:name w:val="footer"/>
    <w:basedOn w:val="Normal"/>
    <w:link w:val="PiedepginaCar"/>
    <w:uiPriority w:val="99"/>
    <w:unhideWhenUsed/>
    <w:rsid w:val="00164C3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64C3E"/>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164C3E"/>
    <w:pPr>
      <w:spacing w:after="120" w:line="480" w:lineRule="auto"/>
    </w:pPr>
  </w:style>
  <w:style w:type="character" w:customStyle="1" w:styleId="Textoindependiente2Car">
    <w:name w:val="Texto independiente 2 Car"/>
    <w:basedOn w:val="Fuentedeprrafopredeter"/>
    <w:link w:val="Textoindependiente2"/>
    <w:uiPriority w:val="99"/>
    <w:rsid w:val="00164C3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648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D6483"/>
    <w:rPr>
      <w:rFonts w:ascii="Century Gothic" w:eastAsia="Times New Roman" w:hAnsi="Century Gothic" w:cs="Times New Roman"/>
      <w:szCs w:val="24"/>
      <w:lang w:eastAsia="es-ES"/>
    </w:rPr>
  </w:style>
  <w:style w:type="paragraph" w:styleId="Textodeglobo">
    <w:name w:val="Balloon Text"/>
    <w:basedOn w:val="Normal"/>
    <w:link w:val="TextodegloboCar"/>
    <w:uiPriority w:val="99"/>
    <w:semiHidden/>
    <w:unhideWhenUsed/>
    <w:rsid w:val="00F2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61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D528-99EE-4AA6-A451-99392568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3391</Words>
  <Characters>18652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2019-02-05T18:12:00Z</cp:lastPrinted>
  <dcterms:created xsi:type="dcterms:W3CDTF">2019-02-01T17:58:00Z</dcterms:created>
  <dcterms:modified xsi:type="dcterms:W3CDTF">2019-02-15T19:48:00Z</dcterms:modified>
</cp:coreProperties>
</file>